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4643" w14:textId="6B1D14E6" w:rsidR="00E203C2" w:rsidRDefault="00E203C2" w:rsidP="00E203C2">
      <w:r>
        <w:rPr>
          <w:noProof/>
          <w:lang w:eastAsia="en-GB" w:bidi="ar-SA"/>
        </w:rPr>
        <w:drawing>
          <wp:inline distT="0" distB="0" distL="0" distR="0" wp14:anchorId="2EDD3315" wp14:editId="55B7BA08">
            <wp:extent cx="3488400" cy="612000"/>
            <wp:effectExtent l="0" t="0" r="0" b="0"/>
            <wp:docPr id="3" name="Picture 1" descr="Food Standards Australia New Zealand"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56E345B" w14:textId="77777777" w:rsidR="00E203C2" w:rsidRDefault="00E203C2" w:rsidP="00E203C2"/>
    <w:p w14:paraId="56EFC2A4" w14:textId="0D69AF2A" w:rsidR="00831CEB" w:rsidRDefault="00DB5A24" w:rsidP="00831CEB">
      <w:pPr>
        <w:rPr>
          <w:b/>
          <w:sz w:val="28"/>
          <w:szCs w:val="28"/>
        </w:rPr>
      </w:pPr>
      <w:r>
        <w:rPr>
          <w:b/>
          <w:sz w:val="28"/>
          <w:szCs w:val="28"/>
        </w:rPr>
        <w:t>6</w:t>
      </w:r>
      <w:r w:rsidR="00831CEB">
        <w:rPr>
          <w:b/>
          <w:sz w:val="28"/>
          <w:szCs w:val="28"/>
        </w:rPr>
        <w:t xml:space="preserve"> October 2022</w:t>
      </w:r>
    </w:p>
    <w:p w14:paraId="470AF6C7" w14:textId="77777777" w:rsidR="00831CEB" w:rsidRDefault="00831CEB" w:rsidP="00831CEB">
      <w:pPr>
        <w:rPr>
          <w:b/>
          <w:sz w:val="28"/>
          <w:szCs w:val="28"/>
        </w:rPr>
      </w:pPr>
      <w:r>
        <w:rPr>
          <w:b/>
          <w:sz w:val="28"/>
          <w:szCs w:val="28"/>
        </w:rPr>
        <w:t>216-22</w:t>
      </w:r>
    </w:p>
    <w:p w14:paraId="14CE15CD" w14:textId="77777777" w:rsidR="00BA24E2" w:rsidRDefault="00BA24E2" w:rsidP="00E203C2"/>
    <w:p w14:paraId="41271364" w14:textId="24263A6F"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E728B3" w:rsidRPr="00E728B3">
        <w:rPr>
          <w:b/>
        </w:rPr>
        <w:t>Application A1256</w:t>
      </w:r>
    </w:p>
    <w:p w14:paraId="131FCCD5" w14:textId="77777777" w:rsidR="00E203C2" w:rsidRPr="00E203C2" w:rsidRDefault="00E203C2" w:rsidP="00E203C2"/>
    <w:p w14:paraId="4601B144" w14:textId="4FB2CA1F" w:rsidR="00D056F1" w:rsidRPr="00E728B3" w:rsidRDefault="00E728B3" w:rsidP="002432EE">
      <w:pPr>
        <w:pStyle w:val="FSTitle"/>
      </w:pPr>
      <w:r w:rsidRPr="00E728B3">
        <w:t>Colour of pregnancy warning labels for corrugated cardboard packaging</w:t>
      </w:r>
    </w:p>
    <w:p w14:paraId="49FA45C9" w14:textId="77777777" w:rsidR="00E203C2" w:rsidRPr="00E81F6E" w:rsidRDefault="00E203C2" w:rsidP="00E203C2">
      <w:pPr>
        <w:pBdr>
          <w:bottom w:val="single" w:sz="12" w:space="1" w:color="auto"/>
        </w:pBdr>
        <w:spacing w:line="280" w:lineRule="exact"/>
        <w:rPr>
          <w:rFonts w:cs="Arial"/>
          <w:bCs/>
        </w:rPr>
      </w:pPr>
    </w:p>
    <w:p w14:paraId="2153FFD2" w14:textId="77777777" w:rsidR="00E203C2" w:rsidRPr="00293186" w:rsidRDefault="00E203C2" w:rsidP="00E203C2"/>
    <w:p w14:paraId="2E89DFED" w14:textId="13FC57CF" w:rsidR="00E063C6" w:rsidRPr="00293186" w:rsidRDefault="00293186" w:rsidP="00E203C2">
      <w:pPr>
        <w:rPr>
          <w:sz w:val="20"/>
          <w:szCs w:val="20"/>
        </w:rPr>
      </w:pPr>
      <w:r>
        <w:rPr>
          <w:sz w:val="20"/>
          <w:szCs w:val="20"/>
        </w:rPr>
        <w:t>Food Standards Australia New Zealand (</w:t>
      </w:r>
      <w:r w:rsidR="00E063C6" w:rsidRPr="00293186">
        <w:rPr>
          <w:sz w:val="20"/>
          <w:szCs w:val="20"/>
        </w:rPr>
        <w:t>FSANZ</w:t>
      </w:r>
      <w:r>
        <w:rPr>
          <w:sz w:val="20"/>
          <w:szCs w:val="20"/>
        </w:rPr>
        <w:t>)</w:t>
      </w:r>
      <w:r w:rsidR="00E063C6" w:rsidRPr="00293186">
        <w:rPr>
          <w:sz w:val="20"/>
          <w:szCs w:val="20"/>
        </w:rPr>
        <w:t xml:space="preserve"> </w:t>
      </w:r>
      <w:r>
        <w:rPr>
          <w:sz w:val="20"/>
          <w:szCs w:val="20"/>
        </w:rPr>
        <w:t>has assessed an a</w:t>
      </w:r>
      <w:r w:rsidR="00351B07" w:rsidRPr="00293186">
        <w:rPr>
          <w:sz w:val="20"/>
          <w:szCs w:val="20"/>
        </w:rPr>
        <w:t>pplication made by</w:t>
      </w:r>
      <w:r>
        <w:rPr>
          <w:sz w:val="20"/>
          <w:szCs w:val="20"/>
        </w:rPr>
        <w:t xml:space="preserve"> the Brewers Association of New Zealand</w:t>
      </w:r>
      <w:r w:rsidR="00351B07" w:rsidRPr="00293186">
        <w:rPr>
          <w:sz w:val="20"/>
          <w:szCs w:val="20"/>
        </w:rPr>
        <w:t xml:space="preserve"> </w:t>
      </w:r>
      <w:r>
        <w:rPr>
          <w:sz w:val="20"/>
          <w:szCs w:val="20"/>
        </w:rPr>
        <w:t>seeking to amend the Australia New Zealand Food Standards Code (the Code) to permit pregnancy warning labels on corrugated cardboard packaging used for multiple individual units of alcoholic beverages to be in a single colour on a contrasting background. FSANZ</w:t>
      </w:r>
      <w:r w:rsidRPr="000E731C">
        <w:rPr>
          <w:sz w:val="20"/>
          <w:szCs w:val="20"/>
        </w:rPr>
        <w:t xml:space="preserve"> has prepared a draft food regulatory measure.</w:t>
      </w:r>
      <w:r w:rsidR="00413CA8" w:rsidRPr="00293186">
        <w:rPr>
          <w:sz w:val="20"/>
          <w:szCs w:val="20"/>
        </w:rPr>
        <w:t xml:space="preserve"> </w:t>
      </w:r>
      <w:r w:rsidR="00D22F3C" w:rsidRPr="00293186">
        <w:rPr>
          <w:sz w:val="20"/>
          <w:szCs w:val="20"/>
        </w:rPr>
        <w:t xml:space="preserve">Pursuant to section 31 of the </w:t>
      </w:r>
      <w:r w:rsidR="00D22F3C" w:rsidRPr="00293186">
        <w:rPr>
          <w:i/>
          <w:sz w:val="20"/>
          <w:szCs w:val="20"/>
        </w:rPr>
        <w:t>Food Standard</w:t>
      </w:r>
      <w:r w:rsidR="00E203C2" w:rsidRPr="00293186">
        <w:rPr>
          <w:i/>
          <w:sz w:val="20"/>
          <w:szCs w:val="20"/>
        </w:rPr>
        <w:t>s Australia New Zealand Act 1991</w:t>
      </w:r>
      <w:r w:rsidR="00D22F3C" w:rsidRPr="00293186">
        <w:rPr>
          <w:i/>
          <w:sz w:val="20"/>
          <w:szCs w:val="20"/>
        </w:rPr>
        <w:t xml:space="preserve"> </w:t>
      </w:r>
      <w:r w:rsidR="00E203C2" w:rsidRPr="00293186">
        <w:rPr>
          <w:sz w:val="20"/>
          <w:szCs w:val="20"/>
        </w:rPr>
        <w:t>(</w:t>
      </w:r>
      <w:r w:rsidR="00D22F3C" w:rsidRPr="00293186">
        <w:rPr>
          <w:sz w:val="20"/>
          <w:szCs w:val="20"/>
        </w:rPr>
        <w:t>FSANZ Act), FSANZ now c</w:t>
      </w:r>
      <w:r w:rsidR="00E203C2" w:rsidRPr="00293186">
        <w:rPr>
          <w:sz w:val="20"/>
          <w:szCs w:val="20"/>
        </w:rPr>
        <w:t xml:space="preserve">alls for submissions to assist consideration of the </w:t>
      </w:r>
      <w:r w:rsidR="00413CA8" w:rsidRPr="00293186">
        <w:rPr>
          <w:sz w:val="20"/>
          <w:szCs w:val="20"/>
        </w:rPr>
        <w:t xml:space="preserve">draft </w:t>
      </w:r>
      <w:r w:rsidR="00D8470F" w:rsidRPr="00293186">
        <w:rPr>
          <w:sz w:val="20"/>
          <w:szCs w:val="20"/>
        </w:rPr>
        <w:t>food regulatory measure</w:t>
      </w:r>
      <w:r w:rsidR="00D22F3C" w:rsidRPr="00293186">
        <w:rPr>
          <w:sz w:val="20"/>
          <w:szCs w:val="20"/>
        </w:rPr>
        <w:t>.</w:t>
      </w:r>
    </w:p>
    <w:p w14:paraId="77372402" w14:textId="77777777" w:rsidR="00413CA8" w:rsidRDefault="00413CA8" w:rsidP="00413CA8">
      <w:pPr>
        <w:rPr>
          <w:color w:val="FF0000"/>
          <w:sz w:val="20"/>
          <w:szCs w:val="20"/>
        </w:rPr>
      </w:pPr>
    </w:p>
    <w:p w14:paraId="79CDE3AF" w14:textId="419825CB"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4" w:history="1">
        <w:r w:rsidR="006156A8" w:rsidRPr="00F41DA5">
          <w:rPr>
            <w:rStyle w:val="Hyperlink"/>
            <w:sz w:val="20"/>
            <w:szCs w:val="20"/>
            <w:lang w:val="en-AU"/>
          </w:rPr>
          <w:t>current calls for public comment and how to make a submission</w:t>
        </w:r>
      </w:hyperlink>
      <w:r w:rsidR="00351B07" w:rsidRPr="007C174F">
        <w:rPr>
          <w:sz w:val="20"/>
          <w:szCs w:val="20"/>
        </w:rPr>
        <w:t>.</w:t>
      </w:r>
    </w:p>
    <w:p w14:paraId="6AA4A22A" w14:textId="77777777" w:rsidR="00D81D38" w:rsidRPr="00276026" w:rsidRDefault="00D81D38" w:rsidP="00276026">
      <w:pPr>
        <w:rPr>
          <w:sz w:val="20"/>
          <w:szCs w:val="20"/>
        </w:rPr>
      </w:pPr>
    </w:p>
    <w:p w14:paraId="48EE0D2F" w14:textId="77777777" w:rsidR="00876515" w:rsidRDefault="00276026" w:rsidP="00526B53">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002C6A66">
        <w:rPr>
          <w:sz w:val="20"/>
          <w:szCs w:val="20"/>
        </w:rPr>
        <w:t xml:space="preserve">. </w:t>
      </w:r>
      <w:r w:rsidRPr="00276026">
        <w:rPr>
          <w:sz w:val="20"/>
          <w:szCs w:val="20"/>
        </w:rPr>
        <w:t xml:space="preserve">In-confidence submissions may be subject to release under the provisions of the </w:t>
      </w:r>
      <w:r w:rsidRPr="00276026">
        <w:rPr>
          <w:i/>
          <w:iCs/>
          <w:sz w:val="20"/>
          <w:szCs w:val="20"/>
        </w:rPr>
        <w:t>Freedom of Information Act 19</w:t>
      </w:r>
      <w:r w:rsidR="00C32047">
        <w:rPr>
          <w:i/>
          <w:iCs/>
          <w:sz w:val="20"/>
          <w:szCs w:val="20"/>
        </w:rPr>
        <w:t>82</w:t>
      </w:r>
      <w:r w:rsidRPr="00276026">
        <w:rPr>
          <w:sz w:val="20"/>
          <w:szCs w:val="20"/>
        </w:rPr>
        <w:t>.</w:t>
      </w:r>
      <w:r>
        <w:rPr>
          <w:sz w:val="20"/>
          <w:szCs w:val="20"/>
        </w:rPr>
        <w:t xml:space="preserve"> </w:t>
      </w:r>
      <w:r w:rsidRPr="00276026">
        <w:rPr>
          <w:sz w:val="20"/>
          <w:szCs w:val="20"/>
        </w:rPr>
        <w:t xml:space="preserve">Submissions will be published as soon as possible after the end of the </w:t>
      </w:r>
      <w:r w:rsidR="00DF736D">
        <w:rPr>
          <w:sz w:val="20"/>
          <w:szCs w:val="20"/>
        </w:rPr>
        <w:t>submission</w:t>
      </w:r>
      <w:r w:rsidRPr="00276026">
        <w:rPr>
          <w:sz w:val="20"/>
          <w:szCs w:val="20"/>
        </w:rPr>
        <w:t xml:space="preserve"> period. </w:t>
      </w:r>
    </w:p>
    <w:p w14:paraId="6F7C9B70" w14:textId="77777777" w:rsidR="00FB6D3D" w:rsidRPr="00760317" w:rsidRDefault="00FB6D3D" w:rsidP="00526B53">
      <w:pPr>
        <w:ind w:right="-428"/>
        <w:rPr>
          <w:color w:val="000000"/>
          <w:sz w:val="20"/>
          <w:szCs w:val="20"/>
          <w:lang w:val="en-AU"/>
        </w:rPr>
      </w:pPr>
    </w:p>
    <w:p w14:paraId="1A640FF3" w14:textId="77777777" w:rsidR="001B2E9F" w:rsidRDefault="00AD22F9" w:rsidP="00E203C2">
      <w:pPr>
        <w:rPr>
          <w:color w:val="000000"/>
          <w:sz w:val="20"/>
          <w:szCs w:val="20"/>
          <w:lang w:val="en-AU"/>
        </w:rPr>
      </w:pPr>
      <w:r w:rsidRPr="00760317">
        <w:rPr>
          <w:color w:val="000000"/>
          <w:sz w:val="20"/>
          <w:szCs w:val="20"/>
          <w:lang w:val="en-AU"/>
        </w:rPr>
        <w:t>Under s</w:t>
      </w:r>
      <w:r w:rsidR="00351B07" w:rsidRPr="00760317">
        <w:rPr>
          <w:color w:val="000000"/>
          <w:sz w:val="20"/>
          <w:szCs w:val="20"/>
          <w:lang w:val="en-AU"/>
        </w:rPr>
        <w:t xml:space="preserve">ection 114 </w:t>
      </w:r>
      <w:r w:rsidR="00FB1533" w:rsidRPr="00760317">
        <w:rPr>
          <w:color w:val="000000"/>
          <w:sz w:val="20"/>
          <w:szCs w:val="20"/>
          <w:lang w:val="en-AU"/>
        </w:rPr>
        <w:t xml:space="preserve">of the FSANZ Act, </w:t>
      </w:r>
      <w:r w:rsidRPr="00760317">
        <w:rPr>
          <w:color w:val="000000"/>
          <w:sz w:val="20"/>
          <w:szCs w:val="20"/>
          <w:lang w:val="en-AU"/>
        </w:rPr>
        <w:t>some information provided to FSANZ cannot be disclosed. More</w:t>
      </w:r>
      <w:r w:rsidR="00351B07" w:rsidRPr="00760317">
        <w:rPr>
          <w:color w:val="000000"/>
          <w:sz w:val="20"/>
          <w:szCs w:val="20"/>
          <w:lang w:val="en-AU"/>
        </w:rPr>
        <w:t xml:space="preserve"> information about the disclosure of confidential commercial information is available on the FSANZ website at</w:t>
      </w:r>
      <w:r w:rsidR="004A3685" w:rsidRPr="00760317">
        <w:rPr>
          <w:color w:val="000000"/>
          <w:sz w:val="20"/>
          <w:szCs w:val="20"/>
          <w:lang w:val="en-AU"/>
        </w:rPr>
        <w:t xml:space="preserve"> </w:t>
      </w:r>
      <w:hyperlink r:id="rId15" w:history="1">
        <w:r w:rsidR="004A3685" w:rsidRPr="00760317">
          <w:rPr>
            <w:rStyle w:val="Hyperlink"/>
            <w:sz w:val="20"/>
            <w:szCs w:val="20"/>
            <w:lang w:val="en-AU"/>
          </w:rPr>
          <w:t>information for submitters</w:t>
        </w:r>
      </w:hyperlink>
      <w:r w:rsidR="004A3685" w:rsidRPr="00760317">
        <w:rPr>
          <w:color w:val="000000"/>
          <w:sz w:val="20"/>
          <w:szCs w:val="20"/>
          <w:lang w:val="en-AU"/>
        </w:rPr>
        <w:t>.</w:t>
      </w:r>
      <w:r w:rsidR="00760317" w:rsidRPr="00760317">
        <w:rPr>
          <w:color w:val="000000"/>
          <w:sz w:val="20"/>
          <w:szCs w:val="20"/>
          <w:lang w:val="en-AU"/>
        </w:rPr>
        <w:t xml:space="preserve"> </w:t>
      </w:r>
    </w:p>
    <w:p w14:paraId="0BC4A549" w14:textId="77777777" w:rsidR="001B2E9F" w:rsidRDefault="001B2E9F" w:rsidP="00E203C2">
      <w:pPr>
        <w:rPr>
          <w:color w:val="000000"/>
          <w:sz w:val="20"/>
          <w:szCs w:val="20"/>
          <w:lang w:val="en-AU"/>
        </w:rPr>
      </w:pPr>
    </w:p>
    <w:p w14:paraId="1205AA5A" w14:textId="77777777" w:rsidR="00E203C2" w:rsidRPr="00760317" w:rsidRDefault="00760317" w:rsidP="00E203C2">
      <w:pPr>
        <w:rPr>
          <w:sz w:val="20"/>
          <w:szCs w:val="20"/>
        </w:rPr>
      </w:pPr>
      <w:r w:rsidRPr="00760317">
        <w:rPr>
          <w:sz w:val="20"/>
          <w:szCs w:val="20"/>
        </w:rPr>
        <w:t xml:space="preserve">For information on how FSANZ manages personal information when you make a submission, see </w:t>
      </w:r>
      <w:r w:rsidR="006156A8">
        <w:rPr>
          <w:sz w:val="20"/>
          <w:szCs w:val="20"/>
        </w:rPr>
        <w:t>FSANZ’s</w:t>
      </w:r>
      <w:r w:rsidRPr="00760317">
        <w:rPr>
          <w:sz w:val="20"/>
          <w:szCs w:val="20"/>
        </w:rPr>
        <w:t xml:space="preserve"> </w:t>
      </w:r>
      <w:hyperlink r:id="rId16" w:history="1">
        <w:r w:rsidR="001D3F84">
          <w:rPr>
            <w:rStyle w:val="Hyperlink"/>
            <w:sz w:val="20"/>
            <w:szCs w:val="20"/>
          </w:rPr>
          <w:t>Privacy Policy.</w:t>
        </w:r>
      </w:hyperlink>
    </w:p>
    <w:p w14:paraId="7E650772" w14:textId="77777777" w:rsidR="00E203C2" w:rsidRPr="007C174F" w:rsidRDefault="00E203C2" w:rsidP="00E203C2">
      <w:pPr>
        <w:rPr>
          <w:color w:val="000000"/>
          <w:sz w:val="20"/>
          <w:szCs w:val="20"/>
          <w:lang w:val="en-AU"/>
        </w:rPr>
      </w:pPr>
    </w:p>
    <w:p w14:paraId="04DBAEEE" w14:textId="5CE28751"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 xml:space="preserve">with the word </w:t>
      </w:r>
      <w:r w:rsidR="00526B53">
        <w:rPr>
          <w:color w:val="000000"/>
          <w:sz w:val="20"/>
          <w:szCs w:val="20"/>
          <w:lang w:val="en-AU"/>
        </w:rPr>
        <w:t>‘S</w:t>
      </w:r>
      <w:r w:rsidRPr="007C174F">
        <w:rPr>
          <w:color w:val="000000"/>
          <w:sz w:val="20"/>
          <w:szCs w:val="20"/>
          <w:lang w:val="en-AU"/>
        </w:rPr>
        <w:t>ubmission</w:t>
      </w:r>
      <w:r w:rsidR="00526B53">
        <w:rPr>
          <w:color w:val="000000"/>
          <w:sz w:val="20"/>
          <w:szCs w:val="20"/>
          <w:lang w:val="en-AU"/>
        </w:rPr>
        <w:t>’</w:t>
      </w:r>
      <w:r w:rsidR="00BE5540">
        <w:rPr>
          <w:color w:val="000000"/>
          <w:sz w:val="20"/>
          <w:szCs w:val="20"/>
          <w:lang w:val="en-AU"/>
        </w:rPr>
        <w:t xml:space="preserve">. You also need to include the </w:t>
      </w:r>
      <w:r w:rsidR="009E173A">
        <w:rPr>
          <w:color w:val="000000"/>
          <w:sz w:val="20"/>
          <w:szCs w:val="20"/>
          <w:lang w:val="en-AU"/>
        </w:rPr>
        <w:t xml:space="preserve">correct </w:t>
      </w:r>
      <w:r w:rsidR="00C06615">
        <w:rPr>
          <w:color w:val="000000"/>
          <w:sz w:val="20"/>
          <w:szCs w:val="20"/>
          <w:lang w:val="en-AU"/>
        </w:rPr>
        <w:t>application or proposal number</w:t>
      </w:r>
      <w:r w:rsidRPr="007C174F">
        <w:rPr>
          <w:color w:val="000000"/>
          <w:sz w:val="20"/>
          <w:szCs w:val="20"/>
          <w:lang w:val="en-AU"/>
        </w:rPr>
        <w:t xml:space="preserve"> and name</w:t>
      </w:r>
      <w:r w:rsidR="003309A8">
        <w:rPr>
          <w:color w:val="000000"/>
          <w:sz w:val="20"/>
          <w:szCs w:val="20"/>
          <w:lang w:val="en-AU"/>
        </w:rPr>
        <w:t xml:space="preserve">. </w:t>
      </w:r>
      <w:r w:rsidR="00E716A9">
        <w:rPr>
          <w:color w:val="000000"/>
          <w:sz w:val="20"/>
          <w:szCs w:val="20"/>
          <w:lang w:val="en-AU"/>
        </w:rPr>
        <w:t xml:space="preserve">Electronic </w:t>
      </w:r>
      <w:r w:rsidR="00E716A9" w:rsidRPr="007C174F">
        <w:rPr>
          <w:color w:val="000000"/>
          <w:sz w:val="20"/>
          <w:szCs w:val="20"/>
          <w:lang w:val="en-AU"/>
        </w:rPr>
        <w:t xml:space="preserve">submissions </w:t>
      </w:r>
      <w:r w:rsidR="00E716A9">
        <w:rPr>
          <w:color w:val="000000"/>
          <w:sz w:val="20"/>
          <w:szCs w:val="20"/>
          <w:lang w:val="en-AU"/>
        </w:rPr>
        <w:t xml:space="preserve">can be made </w:t>
      </w:r>
      <w:r w:rsidR="00E716A9" w:rsidRPr="007C174F">
        <w:rPr>
          <w:color w:val="000000"/>
          <w:sz w:val="20"/>
          <w:szCs w:val="20"/>
          <w:lang w:val="en-AU"/>
        </w:rPr>
        <w:t xml:space="preserve">through the FSANZ website </w:t>
      </w:r>
      <w:r w:rsidR="00E716A9">
        <w:rPr>
          <w:color w:val="000000"/>
          <w:sz w:val="20"/>
          <w:szCs w:val="20"/>
          <w:lang w:val="en-AU"/>
        </w:rPr>
        <w:t>via the link</w:t>
      </w:r>
      <w:r w:rsidR="00E716A9" w:rsidRPr="008C0E7A">
        <w:rPr>
          <w:color w:val="000000"/>
          <w:sz w:val="20"/>
          <w:szCs w:val="20"/>
          <w:lang w:val="en-AU"/>
        </w:rPr>
        <w:t xml:space="preserve"> </w:t>
      </w:r>
      <w:hyperlink r:id="rId17" w:history="1">
        <w:r w:rsidR="00E716A9">
          <w:rPr>
            <w:rStyle w:val="Hyperlink"/>
            <w:sz w:val="20"/>
            <w:szCs w:val="20"/>
          </w:rPr>
          <w:t>how to make a submission.</w:t>
        </w:r>
      </w:hyperlink>
      <w:r w:rsidR="00E716A9" w:rsidRPr="00AD03BD">
        <w:rPr>
          <w:rStyle w:val="Hyperlink"/>
          <w:sz w:val="20"/>
          <w:szCs w:val="20"/>
          <w:u w:val="none"/>
        </w:rPr>
        <w:t xml:space="preserve"> </w:t>
      </w:r>
      <w:r w:rsidR="00E716A9">
        <w:rPr>
          <w:color w:val="000000"/>
          <w:sz w:val="20"/>
          <w:szCs w:val="20"/>
          <w:lang w:val="en-AU"/>
        </w:rPr>
        <w:t>You can also</w:t>
      </w:r>
      <w:r w:rsidR="00E716A9" w:rsidRPr="007C174F">
        <w:rPr>
          <w:color w:val="000000"/>
          <w:sz w:val="20"/>
          <w:szCs w:val="20"/>
          <w:lang w:val="en-AU"/>
        </w:rPr>
        <w:t xml:space="preserve"> email your submission to </w:t>
      </w:r>
      <w:hyperlink r:id="rId18" w:history="1">
        <w:r w:rsidR="00E716A9" w:rsidRPr="007C174F">
          <w:rPr>
            <w:rStyle w:val="Hyperlink"/>
            <w:rFonts w:cs="Arial"/>
            <w:sz w:val="20"/>
            <w:szCs w:val="20"/>
            <w:lang w:val="en-AU"/>
          </w:rPr>
          <w:t>submissions@foodstandards.gov.au</w:t>
        </w:r>
      </w:hyperlink>
      <w:r w:rsidR="00E716A9">
        <w:rPr>
          <w:color w:val="000000"/>
          <w:sz w:val="20"/>
          <w:szCs w:val="20"/>
          <w:lang w:val="en-AU"/>
        </w:rPr>
        <w:t xml:space="preserve">. </w:t>
      </w:r>
      <w:r w:rsidR="00E716A9" w:rsidRPr="007C174F">
        <w:rPr>
          <w:color w:val="000000"/>
          <w:sz w:val="20"/>
          <w:szCs w:val="20"/>
          <w:lang w:val="en-AU"/>
        </w:rPr>
        <w:t xml:space="preserve">FSANZ </w:t>
      </w:r>
      <w:r w:rsidR="00E716A9">
        <w:rPr>
          <w:color w:val="000000"/>
          <w:sz w:val="20"/>
          <w:szCs w:val="20"/>
          <w:lang w:val="en-AU"/>
        </w:rPr>
        <w:t xml:space="preserve">also </w:t>
      </w:r>
      <w:r w:rsidR="00E716A9" w:rsidRPr="007C174F">
        <w:rPr>
          <w:color w:val="000000"/>
          <w:sz w:val="20"/>
          <w:szCs w:val="20"/>
          <w:lang w:val="en-AU"/>
        </w:rPr>
        <w:t xml:space="preserve">accepts submissions in hard copy to our </w:t>
      </w:r>
      <w:r w:rsidR="00E716A9">
        <w:rPr>
          <w:color w:val="000000"/>
          <w:sz w:val="20"/>
          <w:szCs w:val="20"/>
          <w:lang w:val="en-AU"/>
        </w:rPr>
        <w:t xml:space="preserve">Australia and/or New Zealand </w:t>
      </w:r>
      <w:r w:rsidR="00E716A9" w:rsidRPr="007C174F">
        <w:rPr>
          <w:color w:val="000000"/>
          <w:sz w:val="20"/>
          <w:szCs w:val="20"/>
          <w:lang w:val="en-AU"/>
        </w:rPr>
        <w:t>offices</w:t>
      </w:r>
      <w:r w:rsidR="00E716A9">
        <w:rPr>
          <w:color w:val="000000"/>
          <w:sz w:val="20"/>
          <w:szCs w:val="20"/>
          <w:lang w:val="en-AU"/>
        </w:rPr>
        <w:t>.</w:t>
      </w:r>
    </w:p>
    <w:p w14:paraId="7AD2A684" w14:textId="77777777" w:rsidR="00E203C2" w:rsidRPr="007C174F" w:rsidRDefault="00E203C2" w:rsidP="00E203C2">
      <w:pPr>
        <w:rPr>
          <w:color w:val="000000"/>
          <w:sz w:val="20"/>
          <w:szCs w:val="20"/>
          <w:lang w:val="en-AU"/>
        </w:rPr>
      </w:pPr>
    </w:p>
    <w:p w14:paraId="7E4B0FC8"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20A97959" w14:textId="77777777" w:rsidR="00E203C2" w:rsidRPr="00D676CF" w:rsidRDefault="00E203C2" w:rsidP="00E203C2">
      <w:pPr>
        <w:rPr>
          <w:color w:val="000000"/>
          <w:sz w:val="20"/>
          <w:lang w:val="en-AU"/>
        </w:rPr>
      </w:pPr>
    </w:p>
    <w:p w14:paraId="20A11164" w14:textId="7C506B91"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831CEB" w:rsidRPr="00831CEB">
        <w:rPr>
          <w:rFonts w:cs="Arial"/>
          <w:b/>
          <w:bCs/>
          <w:sz w:val="24"/>
        </w:rPr>
        <w:t>16 November 2022</w:t>
      </w:r>
    </w:p>
    <w:p w14:paraId="5E24FCCC" w14:textId="77777777" w:rsidR="00E203C2" w:rsidRPr="007C174F" w:rsidRDefault="00E203C2" w:rsidP="00E203C2">
      <w:pPr>
        <w:rPr>
          <w:sz w:val="20"/>
          <w:szCs w:val="20"/>
          <w:lang w:val="en-AU"/>
        </w:rPr>
      </w:pPr>
    </w:p>
    <w:p w14:paraId="4C030549" w14:textId="77777777" w:rsidR="00E203C2"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00DF736D">
        <w:rPr>
          <w:sz w:val="20"/>
          <w:szCs w:val="20"/>
          <w:lang w:val="en-AU"/>
        </w:rPr>
        <w:t xml:space="preserve"> </w:t>
      </w:r>
      <w:r w:rsidRPr="007C174F">
        <w:rPr>
          <w:sz w:val="20"/>
          <w:szCs w:val="20"/>
          <w:lang w:val="en-AU"/>
        </w:rPr>
        <w:t>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Extensions will only be</w:t>
      </w:r>
      <w:r w:rsidR="00526B53">
        <w:rPr>
          <w:sz w:val="20"/>
          <w:szCs w:val="20"/>
          <w:lang w:val="en-AU"/>
        </w:rPr>
        <w:t xml:space="preserve"> </w:t>
      </w:r>
      <w:r w:rsidR="0037520F">
        <w:rPr>
          <w:sz w:val="20"/>
          <w:szCs w:val="20"/>
          <w:lang w:val="en-AU"/>
        </w:rPr>
        <w:t xml:space="preserve">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AEE9FE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w:t>
      </w:r>
      <w:r w:rsidR="00970050">
        <w:rPr>
          <w:sz w:val="20"/>
          <w:szCs w:val="20"/>
          <w:lang w:val="en-AU"/>
        </w:rPr>
        <w:t xml:space="preserve">a </w:t>
      </w:r>
      <w:r w:rsidR="00E063C6" w:rsidRPr="007C174F">
        <w:rPr>
          <w:sz w:val="20"/>
          <w:szCs w:val="20"/>
          <w:lang w:val="en-AU"/>
        </w:rPr>
        <w:t xml:space="preserve">submission or application </w:t>
      </w:r>
      <w:r w:rsidR="00970050">
        <w:rPr>
          <w:sz w:val="20"/>
          <w:szCs w:val="20"/>
          <w:lang w:val="en-AU"/>
        </w:rPr>
        <w:t xml:space="preserve">and proposal </w:t>
      </w:r>
      <w:r w:rsidR="00E063C6" w:rsidRPr="007C174F">
        <w:rPr>
          <w:sz w:val="20"/>
          <w:szCs w:val="20"/>
          <w:lang w:val="en-AU"/>
        </w:rPr>
        <w:t>process</w:t>
      </w:r>
      <w:r w:rsidR="00970050">
        <w:rPr>
          <w:sz w:val="20"/>
          <w:szCs w:val="20"/>
          <w:lang w:val="en-AU"/>
        </w:rPr>
        <w:t>es</w:t>
      </w:r>
      <w:r w:rsidR="00E063C6" w:rsidRPr="007C174F">
        <w:rPr>
          <w:sz w:val="20"/>
          <w:szCs w:val="20"/>
          <w:lang w:val="en-AU"/>
        </w:rPr>
        <w:t xml:space="preserve">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1F7A4235" w14:textId="77777777" w:rsidR="00E203C2" w:rsidRPr="003A7725" w:rsidRDefault="00E203C2" w:rsidP="003A7725">
      <w:pPr>
        <w:rPr>
          <w:sz w:val="20"/>
          <w:lang w:val="en-AU"/>
        </w:rPr>
      </w:pPr>
    </w:p>
    <w:p w14:paraId="304AAF71" w14:textId="77777777" w:rsidR="00E063C6" w:rsidRPr="007C174F" w:rsidRDefault="005C49C3" w:rsidP="00E203C2">
      <w:pPr>
        <w:rPr>
          <w:sz w:val="20"/>
          <w:szCs w:val="20"/>
          <w:lang w:val="en-AU"/>
        </w:rPr>
      </w:pPr>
      <w:r>
        <w:rPr>
          <w:sz w:val="20"/>
          <w:szCs w:val="20"/>
          <w:lang w:val="en-AU"/>
        </w:rPr>
        <w:t>S</w:t>
      </w:r>
      <w:r w:rsidR="00E063C6" w:rsidRPr="007C174F">
        <w:rPr>
          <w:sz w:val="20"/>
          <w:szCs w:val="20"/>
          <w:lang w:val="en-AU"/>
        </w:rPr>
        <w:t xml:space="preserve">ubmissions </w:t>
      </w:r>
      <w:r>
        <w:rPr>
          <w:sz w:val="20"/>
          <w:szCs w:val="20"/>
          <w:lang w:val="en-AU"/>
        </w:rPr>
        <w:t xml:space="preserve">in hard copy </w:t>
      </w:r>
      <w:r w:rsidR="00E063C6" w:rsidRPr="007C174F">
        <w:rPr>
          <w:sz w:val="20"/>
          <w:szCs w:val="20"/>
          <w:lang w:val="en-AU"/>
        </w:rPr>
        <w:t>may be sent to the following addresses:</w:t>
      </w:r>
    </w:p>
    <w:p w14:paraId="3C3940C4" w14:textId="77777777" w:rsidR="00E203C2" w:rsidRPr="007C174F" w:rsidRDefault="00E203C2" w:rsidP="00E203C2">
      <w:pPr>
        <w:rPr>
          <w:sz w:val="20"/>
          <w:szCs w:val="20"/>
          <w:lang w:val="en-AU"/>
        </w:rPr>
      </w:pPr>
    </w:p>
    <w:p w14:paraId="7B767A50"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B3F4A79"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618BDBB"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WELLINGTON 614</w:t>
      </w:r>
      <w:r w:rsidR="00DB65A3">
        <w:rPr>
          <w:sz w:val="20"/>
          <w:szCs w:val="20"/>
        </w:rPr>
        <w:t>0</w:t>
      </w:r>
    </w:p>
    <w:p w14:paraId="4E336422"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249544D8"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0D7ED9CE" w14:textId="77777777" w:rsidR="00D22F3C" w:rsidRPr="007C174F" w:rsidRDefault="00D22F3C" w:rsidP="00203540">
      <w:pPr>
        <w:tabs>
          <w:tab w:val="left" w:pos="4536"/>
        </w:tabs>
        <w:rPr>
          <w:rFonts w:cs="Arial"/>
          <w:bCs/>
          <w:color w:val="FF0000"/>
          <w:sz w:val="20"/>
          <w:szCs w:val="20"/>
        </w:rPr>
      </w:pPr>
    </w:p>
    <w:p w14:paraId="56766450"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16F33EE9"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0CC12F10" w14:textId="77777777" w:rsidR="00562917" w:rsidRPr="00AE766D" w:rsidRDefault="00562917" w:rsidP="00051ED9">
      <w:pPr>
        <w:rPr>
          <w:rFonts w:cs="Arial"/>
        </w:rPr>
      </w:pPr>
    </w:p>
    <w:p w14:paraId="76BB6487" w14:textId="784D33FC" w:rsidR="006D72CD" w:rsidRDefault="00E97759">
      <w:pPr>
        <w:pStyle w:val="TOC1"/>
        <w:rPr>
          <w:rFonts w:eastAsiaTheme="minorEastAsia" w:cstheme="minorBidi"/>
          <w:b w:val="0"/>
          <w:bCs w:val="0"/>
          <w:caps w:val="0"/>
          <w:noProof/>
          <w:sz w:val="22"/>
          <w:szCs w:val="22"/>
          <w:lang w:val="en-NZ" w:eastAsia="en-NZ" w:bidi="ar-SA"/>
        </w:rPr>
      </w:pPr>
      <w:r>
        <w:rPr>
          <w:rFonts w:cs="Arial"/>
          <w:b w:val="0"/>
          <w:bCs w:val="0"/>
          <w:caps w:val="0"/>
        </w:rPr>
        <w:fldChar w:fldCharType="begin"/>
      </w:r>
      <w:r>
        <w:rPr>
          <w:rFonts w:cs="Arial"/>
          <w:b w:val="0"/>
          <w:bCs w:val="0"/>
          <w:caps w:val="0"/>
        </w:rPr>
        <w:instrText xml:space="preserve"> TOC \o "1-2" \h \z \u </w:instrText>
      </w:r>
      <w:r>
        <w:rPr>
          <w:rFonts w:cs="Arial"/>
          <w:b w:val="0"/>
          <w:bCs w:val="0"/>
          <w:caps w:val="0"/>
        </w:rPr>
        <w:fldChar w:fldCharType="separate"/>
      </w:r>
      <w:hyperlink w:anchor="_Toc114057797" w:history="1">
        <w:r w:rsidR="006D72CD" w:rsidRPr="00697E30">
          <w:rPr>
            <w:rStyle w:val="Hyperlink"/>
            <w:noProof/>
          </w:rPr>
          <w:t>Executive summary</w:t>
        </w:r>
        <w:r w:rsidR="006D72CD">
          <w:rPr>
            <w:noProof/>
            <w:webHidden/>
          </w:rPr>
          <w:tab/>
        </w:r>
        <w:r w:rsidR="006D72CD">
          <w:rPr>
            <w:noProof/>
            <w:webHidden/>
          </w:rPr>
          <w:fldChar w:fldCharType="begin"/>
        </w:r>
        <w:r w:rsidR="006D72CD">
          <w:rPr>
            <w:noProof/>
            <w:webHidden/>
          </w:rPr>
          <w:instrText xml:space="preserve"> PAGEREF _Toc114057797 \h </w:instrText>
        </w:r>
        <w:r w:rsidR="006D72CD">
          <w:rPr>
            <w:noProof/>
            <w:webHidden/>
          </w:rPr>
        </w:r>
        <w:r w:rsidR="006D72CD">
          <w:rPr>
            <w:noProof/>
            <w:webHidden/>
          </w:rPr>
          <w:fldChar w:fldCharType="separate"/>
        </w:r>
        <w:r w:rsidR="006D72CD">
          <w:rPr>
            <w:noProof/>
            <w:webHidden/>
          </w:rPr>
          <w:t>2</w:t>
        </w:r>
        <w:r w:rsidR="006D72CD">
          <w:rPr>
            <w:noProof/>
            <w:webHidden/>
          </w:rPr>
          <w:fldChar w:fldCharType="end"/>
        </w:r>
      </w:hyperlink>
    </w:p>
    <w:p w14:paraId="0E0C78D8" w14:textId="76D51681" w:rsidR="006D72CD" w:rsidRDefault="006E5C79">
      <w:pPr>
        <w:pStyle w:val="TOC1"/>
        <w:rPr>
          <w:rFonts w:eastAsiaTheme="minorEastAsia" w:cstheme="minorBidi"/>
          <w:b w:val="0"/>
          <w:bCs w:val="0"/>
          <w:caps w:val="0"/>
          <w:noProof/>
          <w:sz w:val="22"/>
          <w:szCs w:val="22"/>
          <w:lang w:val="en-NZ" w:eastAsia="en-NZ" w:bidi="ar-SA"/>
        </w:rPr>
      </w:pPr>
      <w:hyperlink w:anchor="_Toc114057798" w:history="1">
        <w:r w:rsidR="006D72CD" w:rsidRPr="00697E30">
          <w:rPr>
            <w:rStyle w:val="Hyperlink"/>
            <w:noProof/>
          </w:rPr>
          <w:t>1</w:t>
        </w:r>
        <w:r w:rsidR="006D72CD">
          <w:rPr>
            <w:rFonts w:eastAsiaTheme="minorEastAsia" w:cstheme="minorBidi"/>
            <w:b w:val="0"/>
            <w:bCs w:val="0"/>
            <w:caps w:val="0"/>
            <w:noProof/>
            <w:sz w:val="22"/>
            <w:szCs w:val="22"/>
            <w:lang w:val="en-NZ" w:eastAsia="en-NZ" w:bidi="ar-SA"/>
          </w:rPr>
          <w:tab/>
        </w:r>
        <w:r w:rsidR="006D72CD" w:rsidRPr="00697E30">
          <w:rPr>
            <w:rStyle w:val="Hyperlink"/>
            <w:noProof/>
          </w:rPr>
          <w:t>Introduction</w:t>
        </w:r>
        <w:r w:rsidR="006D72CD">
          <w:rPr>
            <w:noProof/>
            <w:webHidden/>
          </w:rPr>
          <w:tab/>
        </w:r>
        <w:r w:rsidR="006D72CD">
          <w:rPr>
            <w:noProof/>
            <w:webHidden/>
          </w:rPr>
          <w:fldChar w:fldCharType="begin"/>
        </w:r>
        <w:r w:rsidR="006D72CD">
          <w:rPr>
            <w:noProof/>
            <w:webHidden/>
          </w:rPr>
          <w:instrText xml:space="preserve"> PAGEREF _Toc114057798 \h </w:instrText>
        </w:r>
        <w:r w:rsidR="006D72CD">
          <w:rPr>
            <w:noProof/>
            <w:webHidden/>
          </w:rPr>
        </w:r>
        <w:r w:rsidR="006D72CD">
          <w:rPr>
            <w:noProof/>
            <w:webHidden/>
          </w:rPr>
          <w:fldChar w:fldCharType="separate"/>
        </w:r>
        <w:r w:rsidR="006D72CD">
          <w:rPr>
            <w:noProof/>
            <w:webHidden/>
          </w:rPr>
          <w:t>4</w:t>
        </w:r>
        <w:r w:rsidR="006D72CD">
          <w:rPr>
            <w:noProof/>
            <w:webHidden/>
          </w:rPr>
          <w:fldChar w:fldCharType="end"/>
        </w:r>
      </w:hyperlink>
    </w:p>
    <w:p w14:paraId="0F84BC3B" w14:textId="658D9D16" w:rsidR="006D72CD" w:rsidRDefault="006E5C79">
      <w:pPr>
        <w:pStyle w:val="TOC2"/>
        <w:rPr>
          <w:rFonts w:eastAsiaTheme="minorEastAsia" w:cstheme="minorBidi"/>
          <w:smallCaps w:val="0"/>
          <w:noProof/>
          <w:sz w:val="22"/>
          <w:szCs w:val="22"/>
          <w:lang w:val="en-NZ" w:eastAsia="en-NZ" w:bidi="ar-SA"/>
        </w:rPr>
      </w:pPr>
      <w:hyperlink w:anchor="_Toc114057799" w:history="1">
        <w:r w:rsidR="006D72CD" w:rsidRPr="00697E30">
          <w:rPr>
            <w:rStyle w:val="Hyperlink"/>
            <w:noProof/>
          </w:rPr>
          <w:t>1.1</w:t>
        </w:r>
        <w:r w:rsidR="006D72CD">
          <w:rPr>
            <w:rFonts w:eastAsiaTheme="minorEastAsia" w:cstheme="minorBidi"/>
            <w:smallCaps w:val="0"/>
            <w:noProof/>
            <w:sz w:val="22"/>
            <w:szCs w:val="22"/>
            <w:lang w:val="en-NZ" w:eastAsia="en-NZ" w:bidi="ar-SA"/>
          </w:rPr>
          <w:tab/>
        </w:r>
        <w:r w:rsidR="006D72CD" w:rsidRPr="00697E30">
          <w:rPr>
            <w:rStyle w:val="Hyperlink"/>
            <w:noProof/>
          </w:rPr>
          <w:t>The Applicant</w:t>
        </w:r>
        <w:r w:rsidR="006D72CD">
          <w:rPr>
            <w:noProof/>
            <w:webHidden/>
          </w:rPr>
          <w:tab/>
        </w:r>
        <w:r w:rsidR="006D72CD">
          <w:rPr>
            <w:noProof/>
            <w:webHidden/>
          </w:rPr>
          <w:fldChar w:fldCharType="begin"/>
        </w:r>
        <w:r w:rsidR="006D72CD">
          <w:rPr>
            <w:noProof/>
            <w:webHidden/>
          </w:rPr>
          <w:instrText xml:space="preserve"> PAGEREF _Toc114057799 \h </w:instrText>
        </w:r>
        <w:r w:rsidR="006D72CD">
          <w:rPr>
            <w:noProof/>
            <w:webHidden/>
          </w:rPr>
        </w:r>
        <w:r w:rsidR="006D72CD">
          <w:rPr>
            <w:noProof/>
            <w:webHidden/>
          </w:rPr>
          <w:fldChar w:fldCharType="separate"/>
        </w:r>
        <w:r w:rsidR="006D72CD">
          <w:rPr>
            <w:noProof/>
            <w:webHidden/>
          </w:rPr>
          <w:t>4</w:t>
        </w:r>
        <w:r w:rsidR="006D72CD">
          <w:rPr>
            <w:noProof/>
            <w:webHidden/>
          </w:rPr>
          <w:fldChar w:fldCharType="end"/>
        </w:r>
      </w:hyperlink>
    </w:p>
    <w:p w14:paraId="7235DB07" w14:textId="356D9D0B" w:rsidR="006D72CD" w:rsidRDefault="006E5C79">
      <w:pPr>
        <w:pStyle w:val="TOC2"/>
        <w:rPr>
          <w:rFonts w:eastAsiaTheme="minorEastAsia" w:cstheme="minorBidi"/>
          <w:smallCaps w:val="0"/>
          <w:noProof/>
          <w:sz w:val="22"/>
          <w:szCs w:val="22"/>
          <w:lang w:val="en-NZ" w:eastAsia="en-NZ" w:bidi="ar-SA"/>
        </w:rPr>
      </w:pPr>
      <w:hyperlink w:anchor="_Toc114057800" w:history="1">
        <w:r w:rsidR="006D72CD" w:rsidRPr="00697E30">
          <w:rPr>
            <w:rStyle w:val="Hyperlink"/>
            <w:noProof/>
          </w:rPr>
          <w:t>1.2</w:t>
        </w:r>
        <w:r w:rsidR="006D72CD">
          <w:rPr>
            <w:rFonts w:eastAsiaTheme="minorEastAsia" w:cstheme="minorBidi"/>
            <w:smallCaps w:val="0"/>
            <w:noProof/>
            <w:sz w:val="22"/>
            <w:szCs w:val="22"/>
            <w:lang w:val="en-NZ" w:eastAsia="en-NZ" w:bidi="ar-SA"/>
          </w:rPr>
          <w:tab/>
        </w:r>
        <w:r w:rsidR="006D72CD" w:rsidRPr="00697E30">
          <w:rPr>
            <w:rStyle w:val="Hyperlink"/>
            <w:noProof/>
          </w:rPr>
          <w:t>The Application</w:t>
        </w:r>
        <w:r w:rsidR="006D72CD">
          <w:rPr>
            <w:noProof/>
            <w:webHidden/>
          </w:rPr>
          <w:tab/>
        </w:r>
        <w:r w:rsidR="006D72CD">
          <w:rPr>
            <w:noProof/>
            <w:webHidden/>
          </w:rPr>
          <w:fldChar w:fldCharType="begin"/>
        </w:r>
        <w:r w:rsidR="006D72CD">
          <w:rPr>
            <w:noProof/>
            <w:webHidden/>
          </w:rPr>
          <w:instrText xml:space="preserve"> PAGEREF _Toc114057800 \h </w:instrText>
        </w:r>
        <w:r w:rsidR="006D72CD">
          <w:rPr>
            <w:noProof/>
            <w:webHidden/>
          </w:rPr>
        </w:r>
        <w:r w:rsidR="006D72CD">
          <w:rPr>
            <w:noProof/>
            <w:webHidden/>
          </w:rPr>
          <w:fldChar w:fldCharType="separate"/>
        </w:r>
        <w:r w:rsidR="006D72CD">
          <w:rPr>
            <w:noProof/>
            <w:webHidden/>
          </w:rPr>
          <w:t>4</w:t>
        </w:r>
        <w:r w:rsidR="006D72CD">
          <w:rPr>
            <w:noProof/>
            <w:webHidden/>
          </w:rPr>
          <w:fldChar w:fldCharType="end"/>
        </w:r>
      </w:hyperlink>
    </w:p>
    <w:p w14:paraId="17209335" w14:textId="5BA46C43" w:rsidR="006D72CD" w:rsidRDefault="006E5C79">
      <w:pPr>
        <w:pStyle w:val="TOC2"/>
        <w:rPr>
          <w:rFonts w:eastAsiaTheme="minorEastAsia" w:cstheme="minorBidi"/>
          <w:smallCaps w:val="0"/>
          <w:noProof/>
          <w:sz w:val="22"/>
          <w:szCs w:val="22"/>
          <w:lang w:val="en-NZ" w:eastAsia="en-NZ" w:bidi="ar-SA"/>
        </w:rPr>
      </w:pPr>
      <w:hyperlink w:anchor="_Toc114057801" w:history="1">
        <w:r w:rsidR="006D72CD" w:rsidRPr="00697E30">
          <w:rPr>
            <w:rStyle w:val="Hyperlink"/>
            <w:noProof/>
          </w:rPr>
          <w:t>1.3</w:t>
        </w:r>
        <w:r w:rsidR="006D72CD">
          <w:rPr>
            <w:rFonts w:eastAsiaTheme="minorEastAsia" w:cstheme="minorBidi"/>
            <w:smallCaps w:val="0"/>
            <w:noProof/>
            <w:sz w:val="22"/>
            <w:szCs w:val="22"/>
            <w:lang w:val="en-NZ" w:eastAsia="en-NZ" w:bidi="ar-SA"/>
          </w:rPr>
          <w:tab/>
        </w:r>
        <w:r w:rsidR="006D72CD" w:rsidRPr="00697E30">
          <w:rPr>
            <w:rStyle w:val="Hyperlink"/>
            <w:noProof/>
          </w:rPr>
          <w:t>The current standard</w:t>
        </w:r>
        <w:r w:rsidR="006D72CD">
          <w:rPr>
            <w:noProof/>
            <w:webHidden/>
          </w:rPr>
          <w:tab/>
        </w:r>
        <w:r w:rsidR="006D72CD">
          <w:rPr>
            <w:noProof/>
            <w:webHidden/>
          </w:rPr>
          <w:fldChar w:fldCharType="begin"/>
        </w:r>
        <w:r w:rsidR="006D72CD">
          <w:rPr>
            <w:noProof/>
            <w:webHidden/>
          </w:rPr>
          <w:instrText xml:space="preserve"> PAGEREF _Toc114057801 \h </w:instrText>
        </w:r>
        <w:r w:rsidR="006D72CD">
          <w:rPr>
            <w:noProof/>
            <w:webHidden/>
          </w:rPr>
        </w:r>
        <w:r w:rsidR="006D72CD">
          <w:rPr>
            <w:noProof/>
            <w:webHidden/>
          </w:rPr>
          <w:fldChar w:fldCharType="separate"/>
        </w:r>
        <w:r w:rsidR="006D72CD">
          <w:rPr>
            <w:noProof/>
            <w:webHidden/>
          </w:rPr>
          <w:t>5</w:t>
        </w:r>
        <w:r w:rsidR="006D72CD">
          <w:rPr>
            <w:noProof/>
            <w:webHidden/>
          </w:rPr>
          <w:fldChar w:fldCharType="end"/>
        </w:r>
      </w:hyperlink>
    </w:p>
    <w:p w14:paraId="57BC0EE0" w14:textId="36986855" w:rsidR="006D72CD" w:rsidRDefault="006E5C79">
      <w:pPr>
        <w:pStyle w:val="TOC2"/>
        <w:rPr>
          <w:rFonts w:eastAsiaTheme="minorEastAsia" w:cstheme="minorBidi"/>
          <w:smallCaps w:val="0"/>
          <w:noProof/>
          <w:sz w:val="22"/>
          <w:szCs w:val="22"/>
          <w:lang w:val="en-NZ" w:eastAsia="en-NZ" w:bidi="ar-SA"/>
        </w:rPr>
      </w:pPr>
      <w:hyperlink w:anchor="_Toc114057802" w:history="1">
        <w:r w:rsidR="006D72CD" w:rsidRPr="00697E30">
          <w:rPr>
            <w:rStyle w:val="Hyperlink"/>
            <w:noProof/>
          </w:rPr>
          <w:t>1.4</w:t>
        </w:r>
        <w:r w:rsidR="006D72CD">
          <w:rPr>
            <w:rFonts w:eastAsiaTheme="minorEastAsia" w:cstheme="minorBidi"/>
            <w:smallCaps w:val="0"/>
            <w:noProof/>
            <w:sz w:val="22"/>
            <w:szCs w:val="22"/>
            <w:lang w:val="en-NZ" w:eastAsia="en-NZ" w:bidi="ar-SA"/>
          </w:rPr>
          <w:tab/>
        </w:r>
        <w:r w:rsidR="006D72CD" w:rsidRPr="00697E30">
          <w:rPr>
            <w:rStyle w:val="Hyperlink"/>
            <w:noProof/>
          </w:rPr>
          <w:t>Reasons for accepting Application</w:t>
        </w:r>
        <w:r w:rsidR="006D72CD">
          <w:rPr>
            <w:noProof/>
            <w:webHidden/>
          </w:rPr>
          <w:tab/>
        </w:r>
        <w:r w:rsidR="006D72CD">
          <w:rPr>
            <w:noProof/>
            <w:webHidden/>
          </w:rPr>
          <w:fldChar w:fldCharType="begin"/>
        </w:r>
        <w:r w:rsidR="006D72CD">
          <w:rPr>
            <w:noProof/>
            <w:webHidden/>
          </w:rPr>
          <w:instrText xml:space="preserve"> PAGEREF _Toc114057802 \h </w:instrText>
        </w:r>
        <w:r w:rsidR="006D72CD">
          <w:rPr>
            <w:noProof/>
            <w:webHidden/>
          </w:rPr>
        </w:r>
        <w:r w:rsidR="006D72CD">
          <w:rPr>
            <w:noProof/>
            <w:webHidden/>
          </w:rPr>
          <w:fldChar w:fldCharType="separate"/>
        </w:r>
        <w:r w:rsidR="006D72CD">
          <w:rPr>
            <w:noProof/>
            <w:webHidden/>
          </w:rPr>
          <w:t>7</w:t>
        </w:r>
        <w:r w:rsidR="006D72CD">
          <w:rPr>
            <w:noProof/>
            <w:webHidden/>
          </w:rPr>
          <w:fldChar w:fldCharType="end"/>
        </w:r>
      </w:hyperlink>
    </w:p>
    <w:p w14:paraId="6493912C" w14:textId="7129FAF1" w:rsidR="006D72CD" w:rsidRDefault="006E5C79">
      <w:pPr>
        <w:pStyle w:val="TOC2"/>
        <w:rPr>
          <w:rFonts w:eastAsiaTheme="minorEastAsia" w:cstheme="minorBidi"/>
          <w:smallCaps w:val="0"/>
          <w:noProof/>
          <w:sz w:val="22"/>
          <w:szCs w:val="22"/>
          <w:lang w:val="en-NZ" w:eastAsia="en-NZ" w:bidi="ar-SA"/>
        </w:rPr>
      </w:pPr>
      <w:hyperlink w:anchor="_Toc114057803" w:history="1">
        <w:r w:rsidR="006D72CD" w:rsidRPr="00697E30">
          <w:rPr>
            <w:rStyle w:val="Hyperlink"/>
            <w:noProof/>
          </w:rPr>
          <w:t>1.5</w:t>
        </w:r>
        <w:r w:rsidR="006D72CD">
          <w:rPr>
            <w:rFonts w:eastAsiaTheme="minorEastAsia" w:cstheme="minorBidi"/>
            <w:smallCaps w:val="0"/>
            <w:noProof/>
            <w:sz w:val="22"/>
            <w:szCs w:val="22"/>
            <w:lang w:val="en-NZ" w:eastAsia="en-NZ" w:bidi="ar-SA"/>
          </w:rPr>
          <w:tab/>
        </w:r>
        <w:r w:rsidR="006D72CD" w:rsidRPr="00697E30">
          <w:rPr>
            <w:rStyle w:val="Hyperlink"/>
            <w:noProof/>
          </w:rPr>
          <w:t>Procedure for assessment</w:t>
        </w:r>
        <w:r w:rsidR="006D72CD">
          <w:rPr>
            <w:noProof/>
            <w:webHidden/>
          </w:rPr>
          <w:tab/>
        </w:r>
        <w:r w:rsidR="006D72CD">
          <w:rPr>
            <w:noProof/>
            <w:webHidden/>
          </w:rPr>
          <w:fldChar w:fldCharType="begin"/>
        </w:r>
        <w:r w:rsidR="006D72CD">
          <w:rPr>
            <w:noProof/>
            <w:webHidden/>
          </w:rPr>
          <w:instrText xml:space="preserve"> PAGEREF _Toc114057803 \h </w:instrText>
        </w:r>
        <w:r w:rsidR="006D72CD">
          <w:rPr>
            <w:noProof/>
            <w:webHidden/>
          </w:rPr>
        </w:r>
        <w:r w:rsidR="006D72CD">
          <w:rPr>
            <w:noProof/>
            <w:webHidden/>
          </w:rPr>
          <w:fldChar w:fldCharType="separate"/>
        </w:r>
        <w:r w:rsidR="006D72CD">
          <w:rPr>
            <w:noProof/>
            <w:webHidden/>
          </w:rPr>
          <w:t>7</w:t>
        </w:r>
        <w:r w:rsidR="006D72CD">
          <w:rPr>
            <w:noProof/>
            <w:webHidden/>
          </w:rPr>
          <w:fldChar w:fldCharType="end"/>
        </w:r>
      </w:hyperlink>
    </w:p>
    <w:p w14:paraId="0C35311C" w14:textId="70A35BE8" w:rsidR="006D72CD" w:rsidRDefault="006E5C79">
      <w:pPr>
        <w:pStyle w:val="TOC1"/>
        <w:rPr>
          <w:rFonts w:eastAsiaTheme="minorEastAsia" w:cstheme="minorBidi"/>
          <w:b w:val="0"/>
          <w:bCs w:val="0"/>
          <w:caps w:val="0"/>
          <w:noProof/>
          <w:sz w:val="22"/>
          <w:szCs w:val="22"/>
          <w:lang w:val="en-NZ" w:eastAsia="en-NZ" w:bidi="ar-SA"/>
        </w:rPr>
      </w:pPr>
      <w:hyperlink w:anchor="_Toc114057804" w:history="1">
        <w:r w:rsidR="006D72CD" w:rsidRPr="00697E30">
          <w:rPr>
            <w:rStyle w:val="Hyperlink"/>
            <w:noProof/>
          </w:rPr>
          <w:t>2</w:t>
        </w:r>
        <w:r w:rsidR="006D72CD">
          <w:rPr>
            <w:rFonts w:eastAsiaTheme="minorEastAsia" w:cstheme="minorBidi"/>
            <w:b w:val="0"/>
            <w:bCs w:val="0"/>
            <w:caps w:val="0"/>
            <w:noProof/>
            <w:sz w:val="22"/>
            <w:szCs w:val="22"/>
            <w:lang w:val="en-NZ" w:eastAsia="en-NZ" w:bidi="ar-SA"/>
          </w:rPr>
          <w:tab/>
        </w:r>
        <w:r w:rsidR="006D72CD" w:rsidRPr="00697E30">
          <w:rPr>
            <w:rStyle w:val="Hyperlink"/>
            <w:noProof/>
          </w:rPr>
          <w:t>Summary of the assessment</w:t>
        </w:r>
        <w:r w:rsidR="006D72CD">
          <w:rPr>
            <w:noProof/>
            <w:webHidden/>
          </w:rPr>
          <w:tab/>
        </w:r>
        <w:r w:rsidR="006D72CD">
          <w:rPr>
            <w:noProof/>
            <w:webHidden/>
          </w:rPr>
          <w:fldChar w:fldCharType="begin"/>
        </w:r>
        <w:r w:rsidR="006D72CD">
          <w:rPr>
            <w:noProof/>
            <w:webHidden/>
          </w:rPr>
          <w:instrText xml:space="preserve"> PAGEREF _Toc114057804 \h </w:instrText>
        </w:r>
        <w:r w:rsidR="006D72CD">
          <w:rPr>
            <w:noProof/>
            <w:webHidden/>
          </w:rPr>
        </w:r>
        <w:r w:rsidR="006D72CD">
          <w:rPr>
            <w:noProof/>
            <w:webHidden/>
          </w:rPr>
          <w:fldChar w:fldCharType="separate"/>
        </w:r>
        <w:r w:rsidR="006D72CD">
          <w:rPr>
            <w:noProof/>
            <w:webHidden/>
          </w:rPr>
          <w:t>7</w:t>
        </w:r>
        <w:r w:rsidR="006D72CD">
          <w:rPr>
            <w:noProof/>
            <w:webHidden/>
          </w:rPr>
          <w:fldChar w:fldCharType="end"/>
        </w:r>
      </w:hyperlink>
    </w:p>
    <w:p w14:paraId="6FA9B6C4" w14:textId="4B720103" w:rsidR="006D72CD" w:rsidRDefault="006E5C79">
      <w:pPr>
        <w:pStyle w:val="TOC2"/>
        <w:rPr>
          <w:rFonts w:eastAsiaTheme="minorEastAsia" w:cstheme="minorBidi"/>
          <w:smallCaps w:val="0"/>
          <w:noProof/>
          <w:sz w:val="22"/>
          <w:szCs w:val="22"/>
          <w:lang w:val="en-NZ" w:eastAsia="en-NZ" w:bidi="ar-SA"/>
        </w:rPr>
      </w:pPr>
      <w:hyperlink w:anchor="_Toc114057805" w:history="1">
        <w:r w:rsidR="006D72CD" w:rsidRPr="00697E30">
          <w:rPr>
            <w:rStyle w:val="Hyperlink"/>
            <w:noProof/>
          </w:rPr>
          <w:t>2.1</w:t>
        </w:r>
        <w:r w:rsidR="006D72CD">
          <w:rPr>
            <w:rFonts w:eastAsiaTheme="minorEastAsia" w:cstheme="minorBidi"/>
            <w:smallCaps w:val="0"/>
            <w:noProof/>
            <w:sz w:val="22"/>
            <w:szCs w:val="22"/>
            <w:lang w:val="en-NZ" w:eastAsia="en-NZ" w:bidi="ar-SA"/>
          </w:rPr>
          <w:tab/>
        </w:r>
        <w:r w:rsidR="006D72CD" w:rsidRPr="00697E30">
          <w:rPr>
            <w:rStyle w:val="Hyperlink"/>
            <w:noProof/>
          </w:rPr>
          <w:t>Technical printing issues</w:t>
        </w:r>
        <w:r w:rsidR="006D72CD">
          <w:rPr>
            <w:noProof/>
            <w:webHidden/>
          </w:rPr>
          <w:tab/>
        </w:r>
        <w:r w:rsidR="006D72CD">
          <w:rPr>
            <w:noProof/>
            <w:webHidden/>
          </w:rPr>
          <w:fldChar w:fldCharType="begin"/>
        </w:r>
        <w:r w:rsidR="006D72CD">
          <w:rPr>
            <w:noProof/>
            <w:webHidden/>
          </w:rPr>
          <w:instrText xml:space="preserve"> PAGEREF _Toc114057805 \h </w:instrText>
        </w:r>
        <w:r w:rsidR="006D72CD">
          <w:rPr>
            <w:noProof/>
            <w:webHidden/>
          </w:rPr>
        </w:r>
        <w:r w:rsidR="006D72CD">
          <w:rPr>
            <w:noProof/>
            <w:webHidden/>
          </w:rPr>
          <w:fldChar w:fldCharType="separate"/>
        </w:r>
        <w:r w:rsidR="006D72CD">
          <w:rPr>
            <w:noProof/>
            <w:webHidden/>
          </w:rPr>
          <w:t>7</w:t>
        </w:r>
        <w:r w:rsidR="006D72CD">
          <w:rPr>
            <w:noProof/>
            <w:webHidden/>
          </w:rPr>
          <w:fldChar w:fldCharType="end"/>
        </w:r>
      </w:hyperlink>
    </w:p>
    <w:p w14:paraId="5CD574DD" w14:textId="5659D4CB" w:rsidR="006D72CD" w:rsidRDefault="006E5C79">
      <w:pPr>
        <w:pStyle w:val="TOC2"/>
        <w:rPr>
          <w:rFonts w:eastAsiaTheme="minorEastAsia" w:cstheme="minorBidi"/>
          <w:smallCaps w:val="0"/>
          <w:noProof/>
          <w:sz w:val="22"/>
          <w:szCs w:val="22"/>
          <w:lang w:val="en-NZ" w:eastAsia="en-NZ" w:bidi="ar-SA"/>
        </w:rPr>
      </w:pPr>
      <w:hyperlink w:anchor="_Toc114057806" w:history="1">
        <w:r w:rsidR="006D72CD" w:rsidRPr="00697E30">
          <w:rPr>
            <w:rStyle w:val="Hyperlink"/>
            <w:noProof/>
          </w:rPr>
          <w:t>2.2</w:t>
        </w:r>
        <w:r w:rsidR="006D72CD">
          <w:rPr>
            <w:rFonts w:eastAsiaTheme="minorEastAsia" w:cstheme="minorBidi"/>
            <w:smallCaps w:val="0"/>
            <w:noProof/>
            <w:sz w:val="22"/>
            <w:szCs w:val="22"/>
            <w:lang w:val="en-NZ" w:eastAsia="en-NZ" w:bidi="ar-SA"/>
          </w:rPr>
          <w:tab/>
        </w:r>
        <w:r w:rsidR="006D72CD" w:rsidRPr="00697E30">
          <w:rPr>
            <w:rStyle w:val="Hyperlink"/>
            <w:noProof/>
          </w:rPr>
          <w:t xml:space="preserve">Summary of consumer evidence that informed pregnancy warning label design in </w:t>
        </w:r>
        <w:r w:rsidR="006D72CD">
          <w:rPr>
            <w:rStyle w:val="Hyperlink"/>
            <w:noProof/>
          </w:rPr>
          <w:tab/>
        </w:r>
        <w:r w:rsidR="006D72CD" w:rsidRPr="00697E30">
          <w:rPr>
            <w:rStyle w:val="Hyperlink"/>
            <w:noProof/>
          </w:rPr>
          <w:t>Proposal P1050, relevant to the application</w:t>
        </w:r>
        <w:r w:rsidR="006D72CD">
          <w:rPr>
            <w:noProof/>
            <w:webHidden/>
          </w:rPr>
          <w:tab/>
        </w:r>
        <w:r w:rsidR="006D72CD">
          <w:rPr>
            <w:noProof/>
            <w:webHidden/>
          </w:rPr>
          <w:fldChar w:fldCharType="begin"/>
        </w:r>
        <w:r w:rsidR="006D72CD">
          <w:rPr>
            <w:noProof/>
            <w:webHidden/>
          </w:rPr>
          <w:instrText xml:space="preserve"> PAGEREF _Toc114057806 \h </w:instrText>
        </w:r>
        <w:r w:rsidR="006D72CD">
          <w:rPr>
            <w:noProof/>
            <w:webHidden/>
          </w:rPr>
        </w:r>
        <w:r w:rsidR="006D72CD">
          <w:rPr>
            <w:noProof/>
            <w:webHidden/>
          </w:rPr>
          <w:fldChar w:fldCharType="separate"/>
        </w:r>
        <w:r w:rsidR="006D72CD">
          <w:rPr>
            <w:noProof/>
            <w:webHidden/>
          </w:rPr>
          <w:t>9</w:t>
        </w:r>
        <w:r w:rsidR="006D72CD">
          <w:rPr>
            <w:noProof/>
            <w:webHidden/>
          </w:rPr>
          <w:fldChar w:fldCharType="end"/>
        </w:r>
      </w:hyperlink>
    </w:p>
    <w:p w14:paraId="03F11F46" w14:textId="635853B5" w:rsidR="006D72CD" w:rsidRDefault="006E5C79">
      <w:pPr>
        <w:pStyle w:val="TOC2"/>
        <w:rPr>
          <w:rFonts w:eastAsiaTheme="minorEastAsia" w:cstheme="minorBidi"/>
          <w:smallCaps w:val="0"/>
          <w:noProof/>
          <w:sz w:val="22"/>
          <w:szCs w:val="22"/>
          <w:lang w:val="en-NZ" w:eastAsia="en-NZ" w:bidi="ar-SA"/>
        </w:rPr>
      </w:pPr>
      <w:hyperlink w:anchor="_Toc114057807" w:history="1">
        <w:r w:rsidR="006D72CD" w:rsidRPr="00697E30">
          <w:rPr>
            <w:rStyle w:val="Hyperlink"/>
            <w:noProof/>
          </w:rPr>
          <w:t>2.3</w:t>
        </w:r>
        <w:r w:rsidR="006D72CD">
          <w:rPr>
            <w:rFonts w:eastAsiaTheme="minorEastAsia" w:cstheme="minorBidi"/>
            <w:smallCaps w:val="0"/>
            <w:noProof/>
            <w:sz w:val="22"/>
            <w:szCs w:val="22"/>
            <w:lang w:val="en-NZ" w:eastAsia="en-NZ" w:bidi="ar-SA"/>
          </w:rPr>
          <w:tab/>
        </w:r>
        <w:r w:rsidR="006D72CD" w:rsidRPr="00697E30">
          <w:rPr>
            <w:rStyle w:val="Hyperlink"/>
            <w:noProof/>
          </w:rPr>
          <w:t>Risk management</w:t>
        </w:r>
        <w:r w:rsidR="006D72CD">
          <w:rPr>
            <w:noProof/>
            <w:webHidden/>
          </w:rPr>
          <w:tab/>
        </w:r>
        <w:r w:rsidR="006D72CD">
          <w:rPr>
            <w:noProof/>
            <w:webHidden/>
          </w:rPr>
          <w:fldChar w:fldCharType="begin"/>
        </w:r>
        <w:r w:rsidR="006D72CD">
          <w:rPr>
            <w:noProof/>
            <w:webHidden/>
          </w:rPr>
          <w:instrText xml:space="preserve"> PAGEREF _Toc114057807 \h </w:instrText>
        </w:r>
        <w:r w:rsidR="006D72CD">
          <w:rPr>
            <w:noProof/>
            <w:webHidden/>
          </w:rPr>
        </w:r>
        <w:r w:rsidR="006D72CD">
          <w:rPr>
            <w:noProof/>
            <w:webHidden/>
          </w:rPr>
          <w:fldChar w:fldCharType="separate"/>
        </w:r>
        <w:r w:rsidR="006D72CD">
          <w:rPr>
            <w:noProof/>
            <w:webHidden/>
          </w:rPr>
          <w:t>11</w:t>
        </w:r>
        <w:r w:rsidR="006D72CD">
          <w:rPr>
            <w:noProof/>
            <w:webHidden/>
          </w:rPr>
          <w:fldChar w:fldCharType="end"/>
        </w:r>
      </w:hyperlink>
    </w:p>
    <w:p w14:paraId="544983DD" w14:textId="7340F71D" w:rsidR="006D72CD" w:rsidRDefault="006E5C79">
      <w:pPr>
        <w:pStyle w:val="TOC2"/>
        <w:rPr>
          <w:rFonts w:eastAsiaTheme="minorEastAsia" w:cstheme="minorBidi"/>
          <w:smallCaps w:val="0"/>
          <w:noProof/>
          <w:sz w:val="22"/>
          <w:szCs w:val="22"/>
          <w:lang w:val="en-NZ" w:eastAsia="en-NZ" w:bidi="ar-SA"/>
        </w:rPr>
      </w:pPr>
      <w:hyperlink w:anchor="_Toc114057808" w:history="1">
        <w:r w:rsidR="006D72CD" w:rsidRPr="00697E30">
          <w:rPr>
            <w:rStyle w:val="Hyperlink"/>
            <w:noProof/>
          </w:rPr>
          <w:t>2.4</w:t>
        </w:r>
        <w:r w:rsidR="006D72CD">
          <w:rPr>
            <w:rFonts w:eastAsiaTheme="minorEastAsia" w:cstheme="minorBidi"/>
            <w:smallCaps w:val="0"/>
            <w:noProof/>
            <w:sz w:val="22"/>
            <w:szCs w:val="22"/>
            <w:lang w:val="en-NZ" w:eastAsia="en-NZ" w:bidi="ar-SA"/>
          </w:rPr>
          <w:tab/>
        </w:r>
        <w:r w:rsidR="006D72CD" w:rsidRPr="00697E30">
          <w:rPr>
            <w:rStyle w:val="Hyperlink"/>
            <w:noProof/>
          </w:rPr>
          <w:t>Risk communication</w:t>
        </w:r>
        <w:r w:rsidR="006D72CD">
          <w:rPr>
            <w:noProof/>
            <w:webHidden/>
          </w:rPr>
          <w:tab/>
        </w:r>
        <w:r w:rsidR="006D72CD">
          <w:rPr>
            <w:noProof/>
            <w:webHidden/>
          </w:rPr>
          <w:fldChar w:fldCharType="begin"/>
        </w:r>
        <w:r w:rsidR="006D72CD">
          <w:rPr>
            <w:noProof/>
            <w:webHidden/>
          </w:rPr>
          <w:instrText xml:space="preserve"> PAGEREF _Toc114057808 \h </w:instrText>
        </w:r>
        <w:r w:rsidR="006D72CD">
          <w:rPr>
            <w:noProof/>
            <w:webHidden/>
          </w:rPr>
        </w:r>
        <w:r w:rsidR="006D72CD">
          <w:rPr>
            <w:noProof/>
            <w:webHidden/>
          </w:rPr>
          <w:fldChar w:fldCharType="separate"/>
        </w:r>
        <w:r w:rsidR="006D72CD">
          <w:rPr>
            <w:noProof/>
            <w:webHidden/>
          </w:rPr>
          <w:t>16</w:t>
        </w:r>
        <w:r w:rsidR="006D72CD">
          <w:rPr>
            <w:noProof/>
            <w:webHidden/>
          </w:rPr>
          <w:fldChar w:fldCharType="end"/>
        </w:r>
      </w:hyperlink>
    </w:p>
    <w:p w14:paraId="2354A169" w14:textId="4C9633A5" w:rsidR="006D72CD" w:rsidRDefault="006E5C79">
      <w:pPr>
        <w:pStyle w:val="TOC2"/>
        <w:rPr>
          <w:rFonts w:eastAsiaTheme="minorEastAsia" w:cstheme="minorBidi"/>
          <w:smallCaps w:val="0"/>
          <w:noProof/>
          <w:sz w:val="22"/>
          <w:szCs w:val="22"/>
          <w:lang w:val="en-NZ" w:eastAsia="en-NZ" w:bidi="ar-SA"/>
        </w:rPr>
      </w:pPr>
      <w:hyperlink w:anchor="_Toc114057809" w:history="1">
        <w:r w:rsidR="006D72CD" w:rsidRPr="00697E30">
          <w:rPr>
            <w:rStyle w:val="Hyperlink"/>
            <w:noProof/>
          </w:rPr>
          <w:t>2.5</w:t>
        </w:r>
        <w:r w:rsidR="006D72CD">
          <w:rPr>
            <w:rFonts w:eastAsiaTheme="minorEastAsia" w:cstheme="minorBidi"/>
            <w:smallCaps w:val="0"/>
            <w:noProof/>
            <w:sz w:val="22"/>
            <w:szCs w:val="22"/>
            <w:lang w:val="en-NZ" w:eastAsia="en-NZ" w:bidi="ar-SA"/>
          </w:rPr>
          <w:tab/>
        </w:r>
        <w:r w:rsidR="006D72CD" w:rsidRPr="00697E30">
          <w:rPr>
            <w:rStyle w:val="Hyperlink"/>
            <w:noProof/>
          </w:rPr>
          <w:t>FSANZ Act assessment requirements</w:t>
        </w:r>
        <w:r w:rsidR="006D72CD">
          <w:rPr>
            <w:noProof/>
            <w:webHidden/>
          </w:rPr>
          <w:tab/>
        </w:r>
        <w:r w:rsidR="006D72CD">
          <w:rPr>
            <w:noProof/>
            <w:webHidden/>
          </w:rPr>
          <w:fldChar w:fldCharType="begin"/>
        </w:r>
        <w:r w:rsidR="006D72CD">
          <w:rPr>
            <w:noProof/>
            <w:webHidden/>
          </w:rPr>
          <w:instrText xml:space="preserve"> PAGEREF _Toc114057809 \h </w:instrText>
        </w:r>
        <w:r w:rsidR="006D72CD">
          <w:rPr>
            <w:noProof/>
            <w:webHidden/>
          </w:rPr>
        </w:r>
        <w:r w:rsidR="006D72CD">
          <w:rPr>
            <w:noProof/>
            <w:webHidden/>
          </w:rPr>
          <w:fldChar w:fldCharType="separate"/>
        </w:r>
        <w:r w:rsidR="006D72CD">
          <w:rPr>
            <w:noProof/>
            <w:webHidden/>
          </w:rPr>
          <w:t>16</w:t>
        </w:r>
        <w:r w:rsidR="006D72CD">
          <w:rPr>
            <w:noProof/>
            <w:webHidden/>
          </w:rPr>
          <w:fldChar w:fldCharType="end"/>
        </w:r>
      </w:hyperlink>
    </w:p>
    <w:p w14:paraId="00C0F0BF" w14:textId="736E4BB9" w:rsidR="006D72CD" w:rsidRDefault="006E5C79">
      <w:pPr>
        <w:pStyle w:val="TOC1"/>
        <w:rPr>
          <w:rFonts w:eastAsiaTheme="minorEastAsia" w:cstheme="minorBidi"/>
          <w:b w:val="0"/>
          <w:bCs w:val="0"/>
          <w:caps w:val="0"/>
          <w:noProof/>
          <w:sz w:val="22"/>
          <w:szCs w:val="22"/>
          <w:lang w:val="en-NZ" w:eastAsia="en-NZ" w:bidi="ar-SA"/>
        </w:rPr>
      </w:pPr>
      <w:hyperlink w:anchor="_Toc114057810" w:history="1">
        <w:r w:rsidR="006D72CD" w:rsidRPr="00697E30">
          <w:rPr>
            <w:rStyle w:val="Hyperlink"/>
            <w:noProof/>
          </w:rPr>
          <w:t>3</w:t>
        </w:r>
        <w:r w:rsidR="006D72CD">
          <w:rPr>
            <w:rFonts w:eastAsiaTheme="minorEastAsia" w:cstheme="minorBidi"/>
            <w:b w:val="0"/>
            <w:bCs w:val="0"/>
            <w:caps w:val="0"/>
            <w:noProof/>
            <w:sz w:val="22"/>
            <w:szCs w:val="22"/>
            <w:lang w:val="en-NZ" w:eastAsia="en-NZ" w:bidi="ar-SA"/>
          </w:rPr>
          <w:tab/>
        </w:r>
        <w:r w:rsidR="006D72CD" w:rsidRPr="00697E30">
          <w:rPr>
            <w:rStyle w:val="Hyperlink"/>
            <w:noProof/>
          </w:rPr>
          <w:t>Draft variation</w:t>
        </w:r>
        <w:r w:rsidR="006D72CD">
          <w:rPr>
            <w:noProof/>
            <w:webHidden/>
          </w:rPr>
          <w:tab/>
        </w:r>
        <w:r w:rsidR="006D72CD">
          <w:rPr>
            <w:noProof/>
            <w:webHidden/>
          </w:rPr>
          <w:fldChar w:fldCharType="begin"/>
        </w:r>
        <w:r w:rsidR="006D72CD">
          <w:rPr>
            <w:noProof/>
            <w:webHidden/>
          </w:rPr>
          <w:instrText xml:space="preserve"> PAGEREF _Toc114057810 \h </w:instrText>
        </w:r>
        <w:r w:rsidR="006D72CD">
          <w:rPr>
            <w:noProof/>
            <w:webHidden/>
          </w:rPr>
        </w:r>
        <w:r w:rsidR="006D72CD">
          <w:rPr>
            <w:noProof/>
            <w:webHidden/>
          </w:rPr>
          <w:fldChar w:fldCharType="separate"/>
        </w:r>
        <w:r w:rsidR="006D72CD">
          <w:rPr>
            <w:noProof/>
            <w:webHidden/>
          </w:rPr>
          <w:t>19</w:t>
        </w:r>
        <w:r w:rsidR="006D72CD">
          <w:rPr>
            <w:noProof/>
            <w:webHidden/>
          </w:rPr>
          <w:fldChar w:fldCharType="end"/>
        </w:r>
      </w:hyperlink>
    </w:p>
    <w:p w14:paraId="04E07A53" w14:textId="2B748ABA" w:rsidR="006D72CD" w:rsidRDefault="006E5C79">
      <w:pPr>
        <w:pStyle w:val="TOC2"/>
        <w:rPr>
          <w:rFonts w:eastAsiaTheme="minorEastAsia" w:cstheme="minorBidi"/>
          <w:smallCaps w:val="0"/>
          <w:noProof/>
          <w:sz w:val="22"/>
          <w:szCs w:val="22"/>
          <w:lang w:val="en-NZ" w:eastAsia="en-NZ" w:bidi="ar-SA"/>
        </w:rPr>
      </w:pPr>
      <w:hyperlink w:anchor="_Toc114057811" w:history="1">
        <w:r w:rsidR="006D72CD" w:rsidRPr="00697E30">
          <w:rPr>
            <w:rStyle w:val="Hyperlink"/>
            <w:noProof/>
          </w:rPr>
          <w:t>3.1</w:t>
        </w:r>
        <w:r w:rsidR="006D72CD">
          <w:rPr>
            <w:rFonts w:eastAsiaTheme="minorEastAsia" w:cstheme="minorBidi"/>
            <w:smallCaps w:val="0"/>
            <w:noProof/>
            <w:sz w:val="22"/>
            <w:szCs w:val="22"/>
            <w:lang w:val="en-NZ" w:eastAsia="en-NZ" w:bidi="ar-SA"/>
          </w:rPr>
          <w:tab/>
        </w:r>
        <w:r w:rsidR="006D72CD" w:rsidRPr="00697E30">
          <w:rPr>
            <w:rStyle w:val="Hyperlink"/>
            <w:noProof/>
          </w:rPr>
          <w:t>Transitional arrangements</w:t>
        </w:r>
        <w:r w:rsidR="006D72CD">
          <w:rPr>
            <w:noProof/>
            <w:webHidden/>
          </w:rPr>
          <w:tab/>
        </w:r>
        <w:r w:rsidR="006D72CD">
          <w:rPr>
            <w:noProof/>
            <w:webHidden/>
          </w:rPr>
          <w:fldChar w:fldCharType="begin"/>
        </w:r>
        <w:r w:rsidR="006D72CD">
          <w:rPr>
            <w:noProof/>
            <w:webHidden/>
          </w:rPr>
          <w:instrText xml:space="preserve"> PAGEREF _Toc114057811 \h </w:instrText>
        </w:r>
        <w:r w:rsidR="006D72CD">
          <w:rPr>
            <w:noProof/>
            <w:webHidden/>
          </w:rPr>
        </w:r>
        <w:r w:rsidR="006D72CD">
          <w:rPr>
            <w:noProof/>
            <w:webHidden/>
          </w:rPr>
          <w:fldChar w:fldCharType="separate"/>
        </w:r>
        <w:r w:rsidR="006D72CD">
          <w:rPr>
            <w:noProof/>
            <w:webHidden/>
          </w:rPr>
          <w:t>19</w:t>
        </w:r>
        <w:r w:rsidR="006D72CD">
          <w:rPr>
            <w:noProof/>
            <w:webHidden/>
          </w:rPr>
          <w:fldChar w:fldCharType="end"/>
        </w:r>
      </w:hyperlink>
    </w:p>
    <w:p w14:paraId="32C178B4" w14:textId="2E48FE34" w:rsidR="006D72CD" w:rsidRDefault="006E5C79">
      <w:pPr>
        <w:pStyle w:val="TOC1"/>
        <w:rPr>
          <w:rFonts w:eastAsiaTheme="minorEastAsia" w:cstheme="minorBidi"/>
          <w:b w:val="0"/>
          <w:bCs w:val="0"/>
          <w:caps w:val="0"/>
          <w:noProof/>
          <w:sz w:val="22"/>
          <w:szCs w:val="22"/>
          <w:lang w:val="en-NZ" w:eastAsia="en-NZ" w:bidi="ar-SA"/>
        </w:rPr>
      </w:pPr>
      <w:hyperlink w:anchor="_Toc114057812" w:history="1">
        <w:r w:rsidR="006D72CD" w:rsidRPr="00697E30">
          <w:rPr>
            <w:rStyle w:val="Hyperlink"/>
            <w:noProof/>
          </w:rPr>
          <w:t>4</w:t>
        </w:r>
        <w:r w:rsidR="006D72CD">
          <w:rPr>
            <w:rFonts w:eastAsiaTheme="minorEastAsia" w:cstheme="minorBidi"/>
            <w:b w:val="0"/>
            <w:bCs w:val="0"/>
            <w:caps w:val="0"/>
            <w:noProof/>
            <w:sz w:val="22"/>
            <w:szCs w:val="22"/>
            <w:lang w:val="en-NZ" w:eastAsia="en-NZ" w:bidi="ar-SA"/>
          </w:rPr>
          <w:tab/>
        </w:r>
        <w:r w:rsidR="006D72CD" w:rsidRPr="00697E30">
          <w:rPr>
            <w:rStyle w:val="Hyperlink"/>
            <w:noProof/>
          </w:rPr>
          <w:t>References</w:t>
        </w:r>
        <w:r w:rsidR="006D72CD">
          <w:rPr>
            <w:noProof/>
            <w:webHidden/>
          </w:rPr>
          <w:tab/>
        </w:r>
        <w:r w:rsidR="006D72CD">
          <w:rPr>
            <w:noProof/>
            <w:webHidden/>
          </w:rPr>
          <w:fldChar w:fldCharType="begin"/>
        </w:r>
        <w:r w:rsidR="006D72CD">
          <w:rPr>
            <w:noProof/>
            <w:webHidden/>
          </w:rPr>
          <w:instrText xml:space="preserve"> PAGEREF _Toc114057812 \h </w:instrText>
        </w:r>
        <w:r w:rsidR="006D72CD">
          <w:rPr>
            <w:noProof/>
            <w:webHidden/>
          </w:rPr>
        </w:r>
        <w:r w:rsidR="006D72CD">
          <w:rPr>
            <w:noProof/>
            <w:webHidden/>
          </w:rPr>
          <w:fldChar w:fldCharType="separate"/>
        </w:r>
        <w:r w:rsidR="006D72CD">
          <w:rPr>
            <w:noProof/>
            <w:webHidden/>
          </w:rPr>
          <w:t>21</w:t>
        </w:r>
        <w:r w:rsidR="006D72CD">
          <w:rPr>
            <w:noProof/>
            <w:webHidden/>
          </w:rPr>
          <w:fldChar w:fldCharType="end"/>
        </w:r>
      </w:hyperlink>
    </w:p>
    <w:p w14:paraId="4340595B" w14:textId="2DE14A4A" w:rsidR="006D72CD" w:rsidRDefault="006E5C79">
      <w:pPr>
        <w:pStyle w:val="TOC2"/>
        <w:rPr>
          <w:rFonts w:eastAsiaTheme="minorEastAsia" w:cstheme="minorBidi"/>
          <w:smallCaps w:val="0"/>
          <w:noProof/>
          <w:sz w:val="22"/>
          <w:szCs w:val="22"/>
          <w:lang w:val="en-NZ" w:eastAsia="en-NZ" w:bidi="ar-SA"/>
        </w:rPr>
      </w:pPr>
      <w:hyperlink w:anchor="_Toc114057813" w:history="1">
        <w:r w:rsidR="006D72CD" w:rsidRPr="00697E30">
          <w:rPr>
            <w:rStyle w:val="Hyperlink"/>
            <w:noProof/>
          </w:rPr>
          <w:t xml:space="preserve">Attachment A – Draft variation to the </w:t>
        </w:r>
        <w:r w:rsidR="006D72CD" w:rsidRPr="00697E30">
          <w:rPr>
            <w:rStyle w:val="Hyperlink"/>
            <w:i/>
            <w:noProof/>
          </w:rPr>
          <w:t>Australia New Zealand Food Standards Code</w:t>
        </w:r>
        <w:r w:rsidR="006D72CD">
          <w:rPr>
            <w:noProof/>
            <w:webHidden/>
          </w:rPr>
          <w:tab/>
        </w:r>
        <w:r w:rsidR="006D72CD">
          <w:rPr>
            <w:noProof/>
            <w:webHidden/>
          </w:rPr>
          <w:fldChar w:fldCharType="begin"/>
        </w:r>
        <w:r w:rsidR="006D72CD">
          <w:rPr>
            <w:noProof/>
            <w:webHidden/>
          </w:rPr>
          <w:instrText xml:space="preserve"> PAGEREF _Toc114057813 \h </w:instrText>
        </w:r>
        <w:r w:rsidR="006D72CD">
          <w:rPr>
            <w:noProof/>
            <w:webHidden/>
          </w:rPr>
        </w:r>
        <w:r w:rsidR="006D72CD">
          <w:rPr>
            <w:noProof/>
            <w:webHidden/>
          </w:rPr>
          <w:fldChar w:fldCharType="separate"/>
        </w:r>
        <w:r w:rsidR="006D72CD">
          <w:rPr>
            <w:noProof/>
            <w:webHidden/>
          </w:rPr>
          <w:t>22</w:t>
        </w:r>
        <w:r w:rsidR="006D72CD">
          <w:rPr>
            <w:noProof/>
            <w:webHidden/>
          </w:rPr>
          <w:fldChar w:fldCharType="end"/>
        </w:r>
      </w:hyperlink>
    </w:p>
    <w:p w14:paraId="16B0C8F2" w14:textId="6023BEC1" w:rsidR="006D72CD" w:rsidRDefault="006E5C79">
      <w:pPr>
        <w:pStyle w:val="TOC2"/>
        <w:rPr>
          <w:rFonts w:eastAsiaTheme="minorEastAsia" w:cstheme="minorBidi"/>
          <w:smallCaps w:val="0"/>
          <w:noProof/>
          <w:sz w:val="22"/>
          <w:szCs w:val="22"/>
          <w:lang w:val="en-NZ" w:eastAsia="en-NZ" w:bidi="ar-SA"/>
        </w:rPr>
      </w:pPr>
      <w:hyperlink w:anchor="_Toc114057814" w:history="1">
        <w:r w:rsidR="006D72CD" w:rsidRPr="00697E30">
          <w:rPr>
            <w:rStyle w:val="Hyperlink"/>
            <w:noProof/>
          </w:rPr>
          <w:t>Attachment B – Draft Explanatory Statement</w:t>
        </w:r>
        <w:r w:rsidR="006D72CD">
          <w:rPr>
            <w:noProof/>
            <w:webHidden/>
          </w:rPr>
          <w:tab/>
        </w:r>
        <w:r w:rsidR="006D72CD">
          <w:rPr>
            <w:noProof/>
            <w:webHidden/>
          </w:rPr>
          <w:fldChar w:fldCharType="begin"/>
        </w:r>
        <w:r w:rsidR="006D72CD">
          <w:rPr>
            <w:noProof/>
            <w:webHidden/>
          </w:rPr>
          <w:instrText xml:space="preserve"> PAGEREF _Toc114057814 \h </w:instrText>
        </w:r>
        <w:r w:rsidR="006D72CD">
          <w:rPr>
            <w:noProof/>
            <w:webHidden/>
          </w:rPr>
        </w:r>
        <w:r w:rsidR="006D72CD">
          <w:rPr>
            <w:noProof/>
            <w:webHidden/>
          </w:rPr>
          <w:fldChar w:fldCharType="separate"/>
        </w:r>
        <w:r w:rsidR="006D72CD">
          <w:rPr>
            <w:noProof/>
            <w:webHidden/>
          </w:rPr>
          <w:t>26</w:t>
        </w:r>
        <w:r w:rsidR="006D72CD">
          <w:rPr>
            <w:noProof/>
            <w:webHidden/>
          </w:rPr>
          <w:fldChar w:fldCharType="end"/>
        </w:r>
      </w:hyperlink>
    </w:p>
    <w:p w14:paraId="6980B0E9" w14:textId="1719B5A5" w:rsidR="00051ED9" w:rsidRPr="0059227F" w:rsidRDefault="00E97759" w:rsidP="00051ED9">
      <w:pPr>
        <w:rPr>
          <w:rFonts w:cs="Arial"/>
        </w:rPr>
      </w:pPr>
      <w:r>
        <w:rPr>
          <w:rFonts w:cs="Arial"/>
          <w:b/>
          <w:bCs/>
          <w:caps/>
          <w:sz w:val="20"/>
          <w:szCs w:val="20"/>
        </w:rPr>
        <w:fldChar w:fldCharType="end"/>
      </w:r>
    </w:p>
    <w:p w14:paraId="090FC1E7" w14:textId="77777777" w:rsidR="00D73931" w:rsidRPr="00E203C2" w:rsidRDefault="00D73931" w:rsidP="00051ED9"/>
    <w:p w14:paraId="3A0CC0B0" w14:textId="445764AB" w:rsidR="00051ED9" w:rsidRDefault="00562917" w:rsidP="00772BDC">
      <w:r w:rsidRPr="00E203C2">
        <w:br w:type="page"/>
      </w:r>
    </w:p>
    <w:p w14:paraId="16490073" w14:textId="4F45520D" w:rsidR="00E063C6" w:rsidRDefault="00F33BB8" w:rsidP="000A5DF8">
      <w:pPr>
        <w:pStyle w:val="Heading1"/>
      </w:pPr>
      <w:bookmarkStart w:id="0" w:name="_Toc286391001"/>
      <w:bookmarkStart w:id="1" w:name="_Toc300933414"/>
      <w:bookmarkStart w:id="2" w:name="_Toc114057797"/>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r w:rsidR="006D72CD">
        <w:t xml:space="preserve"> </w:t>
      </w:r>
    </w:p>
    <w:p w14:paraId="27141EFA" w14:textId="7E3697E7" w:rsidR="00E102C0" w:rsidRDefault="007A17E7" w:rsidP="00E102C0">
      <w:bookmarkStart w:id="8" w:name="_Toc286391003"/>
      <w:r>
        <w:t xml:space="preserve">The Brewers Association of New Zealand </w:t>
      </w:r>
      <w:r w:rsidR="00863784">
        <w:t>applied to Food Standards Australia New Zealand (FSANZ) to amend the Australia New Zealand Food Standards Code (the Code)</w:t>
      </w:r>
      <w:r w:rsidR="00E102C0">
        <w:t xml:space="preserve"> to permit pregnancy warning label</w:t>
      </w:r>
      <w:r w:rsidR="00E967AF">
        <w:t>s</w:t>
      </w:r>
      <w:r w:rsidR="00E102C0">
        <w:t xml:space="preserve"> on corrugated cardboard (CC) packaging used for the outer package of multiple individual units of alcoholic beverages to be in a single colour on a contrasting background.</w:t>
      </w:r>
    </w:p>
    <w:p w14:paraId="4A3C9CF5" w14:textId="77777777" w:rsidR="00E102C0" w:rsidRDefault="00E102C0" w:rsidP="00E102C0"/>
    <w:p w14:paraId="32521547" w14:textId="72C74D71" w:rsidR="00592F5B" w:rsidRDefault="007D64AE" w:rsidP="00592F5B">
      <w:pPr>
        <w:tabs>
          <w:tab w:val="num" w:pos="567"/>
        </w:tabs>
      </w:pPr>
      <w:r w:rsidRPr="007D64AE">
        <w:t>On 31 July 2020, the Code was amended to include new requirements for pregnancy warning label</w:t>
      </w:r>
      <w:r w:rsidR="00E967AF">
        <w:t>ling</w:t>
      </w:r>
      <w:r w:rsidRPr="007D64AE">
        <w:t xml:space="preserve"> on packaged alcoholic beverage</w:t>
      </w:r>
      <w:r w:rsidR="00E8285F">
        <w:t>s</w:t>
      </w:r>
      <w:r w:rsidR="006D66B8">
        <w:t>, developed under Proposal P1050 – Pregnancy warning labels on alcoholic bever</w:t>
      </w:r>
      <w:r w:rsidR="0023696F">
        <w:t>ages</w:t>
      </w:r>
      <w:r w:rsidR="004153E7">
        <w:rPr>
          <w:rStyle w:val="FootnoteReference"/>
        </w:rPr>
        <w:footnoteReference w:id="2"/>
      </w:r>
      <w:r w:rsidR="00246E53">
        <w:t xml:space="preserve">. </w:t>
      </w:r>
      <w:r w:rsidR="00DC5F8E" w:rsidRPr="00A11F81">
        <w:t xml:space="preserve">Businesses have </w:t>
      </w:r>
      <w:r w:rsidR="00DC5F8E">
        <w:t xml:space="preserve">to implement </w:t>
      </w:r>
      <w:r w:rsidR="00DC5F8E" w:rsidRPr="00A11F81">
        <w:t xml:space="preserve">these </w:t>
      </w:r>
      <w:r w:rsidR="00DC5F8E">
        <w:t>requirements from 1 August 2023</w:t>
      </w:r>
      <w:r w:rsidR="00DC5F8E" w:rsidRPr="00A11F81">
        <w:t>.</w:t>
      </w:r>
      <w:r w:rsidR="00DC5F8E">
        <w:t xml:space="preserve"> </w:t>
      </w:r>
      <w:r w:rsidR="00A8506B">
        <w:t>Since the Code was am</w:t>
      </w:r>
      <w:r w:rsidR="004D6409">
        <w:t xml:space="preserve">ended, </w:t>
      </w:r>
      <w:r w:rsidR="00286859" w:rsidRPr="00286859">
        <w:t xml:space="preserve">the alcohol industry in Australia and New Zealand have identified a technical issue with the printing of the </w:t>
      </w:r>
      <w:r w:rsidR="00E82CEA">
        <w:t xml:space="preserve">pregnancy </w:t>
      </w:r>
      <w:r w:rsidR="00286859" w:rsidRPr="00286859">
        <w:t xml:space="preserve">warning </w:t>
      </w:r>
      <w:r w:rsidR="15429D98" w:rsidRPr="00286859">
        <w:t>mark</w:t>
      </w:r>
      <w:r w:rsidR="00E82CEA">
        <w:rPr>
          <w:rStyle w:val="FootnoteReference"/>
        </w:rPr>
        <w:footnoteReference w:id="3"/>
      </w:r>
      <w:r w:rsidR="00FC3A94">
        <w:t xml:space="preserve"> </w:t>
      </w:r>
      <w:r w:rsidR="00286859" w:rsidRPr="00286859">
        <w:t xml:space="preserve">on </w:t>
      </w:r>
      <w:r w:rsidR="001A3305">
        <w:t>CC</w:t>
      </w:r>
      <w:r w:rsidR="00286859" w:rsidRPr="00286859">
        <w:t xml:space="preserve"> packaging</w:t>
      </w:r>
      <w:r w:rsidR="001A3305">
        <w:t xml:space="preserve"> </w:t>
      </w:r>
      <w:r w:rsidR="00592F5B">
        <w:t xml:space="preserve">when using </w:t>
      </w:r>
      <w:r w:rsidR="41345365">
        <w:t>a</w:t>
      </w:r>
      <w:r w:rsidR="00894300">
        <w:t xml:space="preserve"> post-print (flexographic</w:t>
      </w:r>
      <w:r w:rsidR="004D6409">
        <w:t>)</w:t>
      </w:r>
      <w:r w:rsidR="00894300">
        <w:t xml:space="preserve"> </w:t>
      </w:r>
      <w:r w:rsidR="005238CB">
        <w:t xml:space="preserve">printing </w:t>
      </w:r>
      <w:r w:rsidR="00894300">
        <w:t>process</w:t>
      </w:r>
      <w:r w:rsidR="004D6409">
        <w:t>.</w:t>
      </w:r>
    </w:p>
    <w:p w14:paraId="6F7BDBC2" w14:textId="77777777" w:rsidR="00894300" w:rsidRDefault="00894300" w:rsidP="00592F5B">
      <w:pPr>
        <w:tabs>
          <w:tab w:val="num" w:pos="567"/>
        </w:tabs>
      </w:pPr>
    </w:p>
    <w:p w14:paraId="11B3EE24" w14:textId="567106C3" w:rsidR="000C208C" w:rsidRDefault="00696B37" w:rsidP="00592F5B">
      <w:pPr>
        <w:tabs>
          <w:tab w:val="num" w:pos="567"/>
        </w:tabs>
      </w:pPr>
      <w:r>
        <w:t>The existing provisions in the Code require</w:t>
      </w:r>
      <w:r w:rsidR="00C9349A">
        <w:t xml:space="preserve"> a pregnancy warning mark</w:t>
      </w:r>
      <w:r w:rsidR="00E82CEA">
        <w:t xml:space="preserve"> </w:t>
      </w:r>
      <w:r w:rsidR="00C9349A">
        <w:t xml:space="preserve">to be </w:t>
      </w:r>
      <w:r w:rsidR="00044416">
        <w:t xml:space="preserve">in </w:t>
      </w:r>
      <w:r w:rsidR="00C9349A">
        <w:t xml:space="preserve">three colours </w:t>
      </w:r>
      <w:r w:rsidR="00E451D6">
        <w:t xml:space="preserve">- </w:t>
      </w:r>
      <w:r w:rsidR="00C9349A">
        <w:t>red, black and white</w:t>
      </w:r>
      <w:r w:rsidR="00F30B92">
        <w:t>.</w:t>
      </w:r>
      <w:r>
        <w:t xml:space="preserve"> </w:t>
      </w:r>
      <w:r w:rsidR="00C91B32">
        <w:t>Most</w:t>
      </w:r>
      <w:r w:rsidR="00970253">
        <w:t xml:space="preserve"> </w:t>
      </w:r>
      <w:r w:rsidR="007C6687">
        <w:t>CC packaging</w:t>
      </w:r>
      <w:r w:rsidR="002B46EE">
        <w:t xml:space="preserve"> used for alcoholic beverages</w:t>
      </w:r>
      <w:r w:rsidR="007C6687">
        <w:t xml:space="preserve"> </w:t>
      </w:r>
      <w:r w:rsidR="00970253">
        <w:t>is</w:t>
      </w:r>
      <w:r w:rsidR="007C6687">
        <w:t xml:space="preserve"> printed using the post-print process which can result in a misalignment of the elements in the warning </w:t>
      </w:r>
      <w:r w:rsidR="27F22EA2">
        <w:t>mark</w:t>
      </w:r>
      <w:r w:rsidR="007C6687">
        <w:t xml:space="preserve"> due to the three colour requirement</w:t>
      </w:r>
      <w:r w:rsidR="00DE3861">
        <w:t xml:space="preserve"> (see example below),</w:t>
      </w:r>
      <w:r w:rsidR="44F0CB34">
        <w:t xml:space="preserve"> </w:t>
      </w:r>
      <w:r w:rsidR="00AD1A7A">
        <w:t>making the label difficult to read</w:t>
      </w:r>
      <w:r w:rsidR="00E92F08">
        <w:t xml:space="preserve"> and have reduced effectiveness</w:t>
      </w:r>
      <w:r w:rsidR="000C208C">
        <w:t>.</w:t>
      </w:r>
    </w:p>
    <w:p w14:paraId="41C9E0FC" w14:textId="1CA2F652" w:rsidR="000C208C" w:rsidRDefault="000C208C" w:rsidP="007260F5">
      <w:pPr>
        <w:tabs>
          <w:tab w:val="num" w:pos="567"/>
        </w:tabs>
        <w:jc w:val="center"/>
      </w:pPr>
      <w:r>
        <w:rPr>
          <w:noProof/>
          <w:lang w:eastAsia="en-GB" w:bidi="ar-SA"/>
        </w:rPr>
        <w:drawing>
          <wp:inline distT="0" distB="0" distL="0" distR="0" wp14:anchorId="0E1AC6A6" wp14:editId="3794DF6C">
            <wp:extent cx="2343150" cy="790575"/>
            <wp:effectExtent l="0" t="0" r="0" b="9525"/>
            <wp:docPr id="9" name="Picture 2"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2343150" cy="790575"/>
                    </a:xfrm>
                    <a:prstGeom prst="rect">
                      <a:avLst/>
                    </a:prstGeom>
                  </pic:spPr>
                </pic:pic>
              </a:graphicData>
            </a:graphic>
          </wp:inline>
        </w:drawing>
      </w:r>
    </w:p>
    <w:p w14:paraId="0833D7E4" w14:textId="5C71517B" w:rsidR="00A06016" w:rsidRDefault="5CF386C3" w:rsidP="00592F5B">
      <w:pPr>
        <w:tabs>
          <w:tab w:val="num" w:pos="567"/>
        </w:tabs>
      </w:pPr>
      <w:r>
        <w:t>The applicant states the misalignment issue affects CC outer packag</w:t>
      </w:r>
      <w:r w:rsidR="112D271C">
        <w:t>ing</w:t>
      </w:r>
      <w:r>
        <w:t xml:space="preserve"> primarily used for larger multi-packs of beer, cider and pre-mixed drinks (e.g. 12, 16, 18 and 24 packs) as well as wine (6 and 12 bottle cases). </w:t>
      </w:r>
      <w:bookmarkStart w:id="9" w:name="_Hlk113184904"/>
      <w:r w:rsidR="00166C92">
        <w:rPr>
          <w:lang w:val="en-AU"/>
        </w:rPr>
        <w:t>They estimate 8% of beer and cider, 9.5% of wine and 12.5% of pre-mixed drinks are in CC packaging at the retail point of sale i.e. most CC packaging is removed prior to retail sale.</w:t>
      </w:r>
      <w:bookmarkEnd w:id="9"/>
      <w:r w:rsidR="6FBEF8CB">
        <w:t xml:space="preserve"> </w:t>
      </w:r>
      <w:r w:rsidR="003C21E8">
        <w:t>Given</w:t>
      </w:r>
      <w:r w:rsidR="00744469">
        <w:t xml:space="preserve"> the producer does not control </w:t>
      </w:r>
      <w:r w:rsidR="005238CB">
        <w:t>a retail</w:t>
      </w:r>
      <w:r w:rsidR="61DD5AA7">
        <w:t xml:space="preserve"> display</w:t>
      </w:r>
      <w:r w:rsidR="00744469">
        <w:t xml:space="preserve">, the </w:t>
      </w:r>
      <w:r w:rsidR="00744469" w:rsidRPr="00FC3A94">
        <w:t xml:space="preserve">pregnancy warning </w:t>
      </w:r>
      <w:r w:rsidR="00A06016" w:rsidRPr="00FC3A94">
        <w:t>mark</w:t>
      </w:r>
      <w:r w:rsidR="00744469" w:rsidRPr="00FC3A94">
        <w:t xml:space="preserve"> </w:t>
      </w:r>
      <w:r w:rsidR="005C3391" w:rsidRPr="00FC3A94">
        <w:t>has</w:t>
      </w:r>
      <w:r w:rsidR="005C3391">
        <w:t xml:space="preserve"> to </w:t>
      </w:r>
      <w:r w:rsidR="000A53EC">
        <w:t xml:space="preserve">be </w:t>
      </w:r>
      <w:r w:rsidR="7B59B4DD">
        <w:t>printed</w:t>
      </w:r>
      <w:r w:rsidR="005C3391">
        <w:t xml:space="preserve"> on all outer </w:t>
      </w:r>
      <w:r w:rsidR="00E8285F">
        <w:t>CC</w:t>
      </w:r>
      <w:r w:rsidR="005C3391">
        <w:t xml:space="preserve"> packaging.</w:t>
      </w:r>
      <w:r w:rsidR="007642E2">
        <w:t xml:space="preserve"> </w:t>
      </w:r>
    </w:p>
    <w:p w14:paraId="42B02EE5" w14:textId="77777777" w:rsidR="00E102C0" w:rsidRPr="00E716A9" w:rsidRDefault="00E102C0" w:rsidP="00E102C0"/>
    <w:p w14:paraId="406F4CF0" w14:textId="09EC79B0" w:rsidR="00053152" w:rsidRDefault="001E60B6" w:rsidP="00A56E34">
      <w:pPr>
        <w:rPr>
          <w:lang w:bidi="ar-SA"/>
        </w:rPr>
      </w:pPr>
      <w:r w:rsidRPr="3A6E3176">
        <w:rPr>
          <w:lang w:bidi="ar-SA"/>
        </w:rPr>
        <w:t xml:space="preserve">The purpose of the requested amendment is to provide an </w:t>
      </w:r>
      <w:r w:rsidR="00A912F0" w:rsidRPr="3A6E3176">
        <w:rPr>
          <w:lang w:bidi="ar-SA"/>
        </w:rPr>
        <w:t xml:space="preserve">alternative </w:t>
      </w:r>
      <w:r w:rsidRPr="3A6E3176">
        <w:rPr>
          <w:lang w:bidi="ar-SA"/>
        </w:rPr>
        <w:t>pregnancy</w:t>
      </w:r>
      <w:r w:rsidR="00FE466B" w:rsidRPr="3A6E3176">
        <w:rPr>
          <w:lang w:bidi="ar-SA"/>
        </w:rPr>
        <w:t xml:space="preserve"> warning</w:t>
      </w:r>
      <w:r w:rsidRPr="3A6E3176">
        <w:rPr>
          <w:lang w:bidi="ar-SA"/>
        </w:rPr>
        <w:t xml:space="preserve"> mark</w:t>
      </w:r>
      <w:r w:rsidR="00FE466B" w:rsidRPr="3A6E3176">
        <w:rPr>
          <w:lang w:bidi="ar-SA"/>
        </w:rPr>
        <w:t xml:space="preserve"> for CC </w:t>
      </w:r>
      <w:r w:rsidR="003F6AB0" w:rsidRPr="3A6E3176">
        <w:rPr>
          <w:lang w:bidi="ar-SA"/>
        </w:rPr>
        <w:t xml:space="preserve">outer </w:t>
      </w:r>
      <w:r w:rsidR="00FE466B" w:rsidRPr="3A6E3176">
        <w:rPr>
          <w:lang w:bidi="ar-SA"/>
        </w:rPr>
        <w:t>packaging of more than one individual unit of a prescribed alcoholic beverage</w:t>
      </w:r>
      <w:r w:rsidR="00053152" w:rsidRPr="3A6E3176">
        <w:rPr>
          <w:lang w:bidi="ar-SA"/>
        </w:rPr>
        <w:t xml:space="preserve">, when a post-print </w:t>
      </w:r>
      <w:r w:rsidR="00DF38CA">
        <w:rPr>
          <w:lang w:bidi="ar-SA"/>
        </w:rPr>
        <w:t xml:space="preserve">printing </w:t>
      </w:r>
      <w:r w:rsidR="000F7D09" w:rsidRPr="3A6E3176">
        <w:rPr>
          <w:lang w:bidi="ar-SA"/>
        </w:rPr>
        <w:t>process is used</w:t>
      </w:r>
      <w:r w:rsidR="00053152" w:rsidRPr="3A6E3176">
        <w:rPr>
          <w:lang w:bidi="ar-SA"/>
        </w:rPr>
        <w:t>. No other aspects of the pregnancy warning labelling requirements are in scope of the application.</w:t>
      </w:r>
    </w:p>
    <w:p w14:paraId="2E6BB874" w14:textId="77777777" w:rsidR="00053152" w:rsidRDefault="00053152" w:rsidP="00A56E34">
      <w:pPr>
        <w:rPr>
          <w:lang w:bidi="ar-SA"/>
        </w:rPr>
      </w:pPr>
    </w:p>
    <w:p w14:paraId="72A7235F" w14:textId="06E30A9F" w:rsidR="009C1938" w:rsidRDefault="0082261E" w:rsidP="00A56E34">
      <w:r>
        <w:t>FSANZ has undertaken an assessment</w:t>
      </w:r>
      <w:r w:rsidR="008A4F69">
        <w:t xml:space="preserve"> of the requested amendment to the pregnancy warning mark</w:t>
      </w:r>
      <w:r w:rsidR="00202593">
        <w:t xml:space="preserve"> </w:t>
      </w:r>
      <w:r w:rsidR="000650BB">
        <w:t>in relation to the technical</w:t>
      </w:r>
      <w:r w:rsidR="007A356A">
        <w:t xml:space="preserve"> printing issue</w:t>
      </w:r>
      <w:r w:rsidR="000C4279">
        <w:t>. In doing this assessment we</w:t>
      </w:r>
      <w:r w:rsidR="00C971B7">
        <w:t xml:space="preserve"> considered information provided by printers and</w:t>
      </w:r>
      <w:r w:rsidR="000C4279">
        <w:t xml:space="preserve"> </w:t>
      </w:r>
      <w:r w:rsidR="00A313BF">
        <w:t>drew</w:t>
      </w:r>
      <w:r w:rsidR="000C4279">
        <w:t xml:space="preserve"> on the consumer evidence included in Proposal P1050</w:t>
      </w:r>
      <w:r w:rsidR="0D968ECE">
        <w:t>,</w:t>
      </w:r>
      <w:r w:rsidR="000C4279">
        <w:t xml:space="preserve"> specifically in relation to the impact of the requested amendment on label effectiveness.</w:t>
      </w:r>
      <w:r w:rsidR="007A356A">
        <w:t xml:space="preserve"> </w:t>
      </w:r>
      <w:r w:rsidR="00A313BF">
        <w:t>FSANZ is satisfied the P1050 evidence is the best available evidence.</w:t>
      </w:r>
    </w:p>
    <w:p w14:paraId="06C43CB2" w14:textId="77777777" w:rsidR="009C1938" w:rsidRDefault="009C1938" w:rsidP="00A56E34"/>
    <w:p w14:paraId="37415ACC" w14:textId="44F56F03" w:rsidR="0026667C" w:rsidRDefault="6755B939" w:rsidP="00893154">
      <w:pPr>
        <w:rPr>
          <w:lang w:bidi="ar-SA"/>
        </w:rPr>
      </w:pPr>
      <w:r>
        <w:t>FSANZ concludes</w:t>
      </w:r>
      <w:r w:rsidR="5E6A1C26">
        <w:t xml:space="preserve"> that given the technical issues and costs associated</w:t>
      </w:r>
      <w:r w:rsidR="5B4197B7">
        <w:t xml:space="preserve"> with the existing </w:t>
      </w:r>
      <w:r w:rsidR="7A0AA2CF">
        <w:t xml:space="preserve">requirements for the </w:t>
      </w:r>
      <w:r w:rsidR="5B4197B7">
        <w:t>pregnancy warning mark</w:t>
      </w:r>
      <w:r w:rsidR="234F289A">
        <w:t>,</w:t>
      </w:r>
      <w:r w:rsidR="5B4197B7">
        <w:t xml:space="preserve"> </w:t>
      </w:r>
      <w:r w:rsidR="3B38BD9D">
        <w:t xml:space="preserve">an </w:t>
      </w:r>
      <w:r w:rsidR="19B5A45C">
        <w:t>alternative</w:t>
      </w:r>
      <w:r w:rsidR="03CB1306">
        <w:t xml:space="preserve"> </w:t>
      </w:r>
      <w:r w:rsidR="3B38BD9D">
        <w:t xml:space="preserve">pregnancy warning mark should </w:t>
      </w:r>
      <w:bookmarkStart w:id="10" w:name="_Hlk113182697"/>
      <w:r w:rsidR="3B38BD9D">
        <w:t>be permitted</w:t>
      </w:r>
      <w:r w:rsidR="5E6A1C26">
        <w:t xml:space="preserve"> </w:t>
      </w:r>
      <w:r w:rsidR="6FAF733C">
        <w:t xml:space="preserve">for </w:t>
      </w:r>
      <w:r w:rsidR="6FAF733C" w:rsidRPr="19565216">
        <w:rPr>
          <w:lang w:bidi="ar-SA"/>
        </w:rPr>
        <w:t xml:space="preserve">CC outer packaging of more than one individual unit of a prescribed alcoholic beverage, when a post-print </w:t>
      </w:r>
      <w:r w:rsidR="6804EAB1" w:rsidRPr="19565216">
        <w:rPr>
          <w:lang w:bidi="ar-SA"/>
        </w:rPr>
        <w:t>printing</w:t>
      </w:r>
      <w:r w:rsidR="6FAF733C" w:rsidRPr="19565216">
        <w:rPr>
          <w:lang w:bidi="ar-SA"/>
        </w:rPr>
        <w:t xml:space="preserve"> process is used</w:t>
      </w:r>
      <w:r w:rsidR="717D1456" w:rsidRPr="19565216">
        <w:rPr>
          <w:lang w:bidi="ar-SA"/>
        </w:rPr>
        <w:t>. FSANZ is proposing</w:t>
      </w:r>
      <w:r w:rsidR="350A0A31" w:rsidRPr="19565216">
        <w:rPr>
          <w:lang w:bidi="ar-SA"/>
        </w:rPr>
        <w:t>:</w:t>
      </w:r>
    </w:p>
    <w:p w14:paraId="2F98931F" w14:textId="77777777" w:rsidR="0026667C" w:rsidRDefault="0026667C" w:rsidP="00893154">
      <w:pPr>
        <w:rPr>
          <w:lang w:bidi="ar-SA"/>
        </w:rPr>
      </w:pPr>
    </w:p>
    <w:p w14:paraId="0FF33804" w14:textId="5A833CF8" w:rsidR="00A62C3E" w:rsidRDefault="053F46DF" w:rsidP="00FA3085">
      <w:pPr>
        <w:pStyle w:val="ListParagraph"/>
        <w:numPr>
          <w:ilvl w:val="0"/>
          <w:numId w:val="12"/>
        </w:numPr>
        <w:ind w:left="567" w:hanging="567"/>
      </w:pPr>
      <w:bookmarkStart w:id="11" w:name="_Hlk113185514"/>
      <w:r>
        <w:lastRenderedPageBreak/>
        <w:t xml:space="preserve">the </w:t>
      </w:r>
      <w:r w:rsidR="0EF25405">
        <w:t xml:space="preserve">existing </w:t>
      </w:r>
      <w:r w:rsidR="3D731FB5">
        <w:t xml:space="preserve">minimum </w:t>
      </w:r>
      <w:r>
        <w:t>size of type</w:t>
      </w:r>
      <w:r w:rsidR="6F96989E">
        <w:t xml:space="preserve"> for the signal words and statement</w:t>
      </w:r>
      <w:r w:rsidR="3D731FB5">
        <w:t xml:space="preserve"> and </w:t>
      </w:r>
      <w:r w:rsidR="6F96989E">
        <w:t xml:space="preserve">the </w:t>
      </w:r>
      <w:r w:rsidR="5E037377">
        <w:t>pictogram</w:t>
      </w:r>
      <w:r w:rsidR="2C3F157B">
        <w:t xml:space="preserve"> diameter</w:t>
      </w:r>
      <w:r w:rsidR="5E037377">
        <w:t xml:space="preserve"> </w:t>
      </w:r>
      <w:r w:rsidR="6A4EF1D0">
        <w:t xml:space="preserve">be increased </w:t>
      </w:r>
      <w:r w:rsidR="5E037377">
        <w:t>by</w:t>
      </w:r>
      <w:r w:rsidR="5AB272C6">
        <w:t xml:space="preserve"> </w:t>
      </w:r>
      <w:r w:rsidR="4264AEFD">
        <w:t xml:space="preserve">around 25% </w:t>
      </w:r>
      <w:bookmarkEnd w:id="11"/>
    </w:p>
    <w:p w14:paraId="1646E589" w14:textId="44EA1AD9" w:rsidR="00C54300" w:rsidRDefault="66CF957A" w:rsidP="00FA3085">
      <w:pPr>
        <w:pStyle w:val="ListParagraph"/>
        <w:numPr>
          <w:ilvl w:val="0"/>
          <w:numId w:val="12"/>
        </w:numPr>
        <w:ind w:left="567" w:hanging="567"/>
      </w:pPr>
      <w:r>
        <w:t xml:space="preserve">the text, pictogram and border </w:t>
      </w:r>
      <w:r w:rsidR="186BBDC3">
        <w:t>be</w:t>
      </w:r>
      <w:r w:rsidR="5AB272C6">
        <w:t xml:space="preserve"> in</w:t>
      </w:r>
      <w:r w:rsidR="312E6AEA">
        <w:t xml:space="preserve"> </w:t>
      </w:r>
      <w:r w:rsidR="509B5E47">
        <w:t>the single colour black</w:t>
      </w:r>
    </w:p>
    <w:p w14:paraId="5EDD1A29" w14:textId="64520F7D" w:rsidR="00C54300" w:rsidRPr="00C54300" w:rsidRDefault="0F926A02" w:rsidP="00FA3085">
      <w:pPr>
        <w:pStyle w:val="ListParagraph"/>
        <w:numPr>
          <w:ilvl w:val="0"/>
          <w:numId w:val="12"/>
        </w:numPr>
        <w:ind w:left="567" w:hanging="567"/>
        <w:rPr>
          <w:rStyle w:val="eop"/>
        </w:rPr>
      </w:pPr>
      <w:r>
        <w:t>the background</w:t>
      </w:r>
      <w:r w:rsidR="66CF957A">
        <w:t xml:space="preserve"> be</w:t>
      </w:r>
      <w:r w:rsidR="7EFB359A" w:rsidRPr="0026667C">
        <w:rPr>
          <w:rStyle w:val="normaltextrun"/>
          <w:color w:val="000000"/>
        </w:rPr>
        <w:t xml:space="preserve"> the same colour as the CC outside liner (i.e. kraft brown, recycled brown</w:t>
      </w:r>
      <w:r w:rsidR="007F1A11">
        <w:rPr>
          <w:rStyle w:val="normaltextrun"/>
          <w:color w:val="000000"/>
        </w:rPr>
        <w:t xml:space="preserve"> or </w:t>
      </w:r>
      <w:r w:rsidR="7EFB359A" w:rsidRPr="0026667C">
        <w:rPr>
          <w:rStyle w:val="normaltextrun"/>
          <w:color w:val="000000"/>
        </w:rPr>
        <w:t>grey, or white).</w:t>
      </w:r>
      <w:r w:rsidR="7EFB359A" w:rsidRPr="0026667C">
        <w:rPr>
          <w:rStyle w:val="eop"/>
          <w:color w:val="000000"/>
        </w:rPr>
        <w:t> </w:t>
      </w:r>
    </w:p>
    <w:bookmarkEnd w:id="10"/>
    <w:p w14:paraId="558F405E" w14:textId="46329255" w:rsidR="00C54300" w:rsidRDefault="00C54300" w:rsidP="00C54300">
      <w:pPr>
        <w:rPr>
          <w:rStyle w:val="eop"/>
          <w:color w:val="000000"/>
          <w:szCs w:val="22"/>
        </w:rPr>
      </w:pPr>
    </w:p>
    <w:p w14:paraId="14DB3EB9" w14:textId="33E5B726" w:rsidR="00CC4969" w:rsidRDefault="0079365E" w:rsidP="00C54300">
      <w:bookmarkStart w:id="12" w:name="_Hlk113184185"/>
      <w:r w:rsidRPr="00C54300">
        <w:rPr>
          <w:rStyle w:val="eop"/>
          <w:color w:val="000000"/>
          <w:szCs w:val="22"/>
        </w:rPr>
        <w:t xml:space="preserve">This approach </w:t>
      </w:r>
      <w:r w:rsidR="00793E48" w:rsidRPr="00C54300">
        <w:rPr>
          <w:rStyle w:val="eop"/>
          <w:color w:val="000000"/>
          <w:szCs w:val="22"/>
        </w:rPr>
        <w:t>prescribes colour</w:t>
      </w:r>
      <w:r w:rsidR="00FC0985" w:rsidRPr="00C54300">
        <w:rPr>
          <w:rStyle w:val="eop"/>
          <w:color w:val="000000"/>
          <w:szCs w:val="22"/>
        </w:rPr>
        <w:t xml:space="preserve">, </w:t>
      </w:r>
      <w:r w:rsidR="00793E48" w:rsidRPr="00C54300">
        <w:rPr>
          <w:rStyle w:val="eop"/>
          <w:color w:val="000000"/>
          <w:szCs w:val="22"/>
        </w:rPr>
        <w:t xml:space="preserve">contrast </w:t>
      </w:r>
      <w:r w:rsidR="00FC0985" w:rsidRPr="00C54300">
        <w:rPr>
          <w:rStyle w:val="eop"/>
          <w:color w:val="000000"/>
          <w:szCs w:val="22"/>
        </w:rPr>
        <w:t xml:space="preserve">and an increased size, </w:t>
      </w:r>
      <w:r w:rsidR="00793E48" w:rsidRPr="00C54300">
        <w:rPr>
          <w:rStyle w:val="eop"/>
          <w:color w:val="000000"/>
          <w:szCs w:val="22"/>
        </w:rPr>
        <w:t xml:space="preserve">ensuring </w:t>
      </w:r>
      <w:r w:rsidR="00CC4969">
        <w:t xml:space="preserve">effectiveness of the pregnancy warning mark is maintained, </w:t>
      </w:r>
      <w:bookmarkStart w:id="13" w:name="_Hlk113603447"/>
      <w:r w:rsidR="00CC4969">
        <w:t>whilst allowing industry to resolve technical misalignment issues for a very small proportion of packag</w:t>
      </w:r>
      <w:r w:rsidR="00AD1A7A">
        <w:t xml:space="preserve">ing </w:t>
      </w:r>
      <w:r w:rsidR="006503E4">
        <w:t xml:space="preserve">used </w:t>
      </w:r>
      <w:r w:rsidR="00AD1A7A">
        <w:t>for</w:t>
      </w:r>
      <w:r w:rsidR="00CC4969">
        <w:t xml:space="preserve"> alcoholic beverages.</w:t>
      </w:r>
    </w:p>
    <w:bookmarkEnd w:id="12"/>
    <w:bookmarkEnd w:id="13"/>
    <w:p w14:paraId="3457C02D" w14:textId="3A01FB00" w:rsidR="007755F4" w:rsidRDefault="007755F4" w:rsidP="00A56E34"/>
    <w:p w14:paraId="71754373" w14:textId="4F09FAC7" w:rsidR="0062010F" w:rsidRPr="006337F9" w:rsidRDefault="0062010F" w:rsidP="0062010F">
      <w:pPr>
        <w:rPr>
          <w:highlight w:val="yellow"/>
        </w:rPr>
      </w:pPr>
      <w:r>
        <w:t>FSANZ proposes a transition period for</w:t>
      </w:r>
      <w:r w:rsidRPr="3A6E3176">
        <w:rPr>
          <w:lang w:val="en-AU" w:eastAsia="en-GB" w:bidi="ar-SA"/>
        </w:rPr>
        <w:t xml:space="preserve"> a </w:t>
      </w:r>
      <w:r>
        <w:t xml:space="preserve">prescribed alcoholic beverage with a pregnancy warning mark on an outer package </w:t>
      </w:r>
      <w:r w:rsidR="006E2E02">
        <w:t xml:space="preserve">made </w:t>
      </w:r>
      <w:r>
        <w:t xml:space="preserve">of CC (as set out in the draft variation) commences on the date of gazettal and ends on 1 February 2024.  Additionally, such prescribed alcoholic beverages packaged and labelled before the end of the transition period (i.e. before 2 February 2024) </w:t>
      </w:r>
      <w:r w:rsidR="006B6781">
        <w:t>may be sold without</w:t>
      </w:r>
      <w:r>
        <w:t xml:space="preserve"> the pregnancy warning mark.</w:t>
      </w:r>
    </w:p>
    <w:p w14:paraId="7319B56C" w14:textId="40AB01A4" w:rsidR="007755F4" w:rsidRDefault="007755F4" w:rsidP="007755F4">
      <w:pPr>
        <w:rPr>
          <w:lang w:bidi="ar-SA"/>
        </w:rPr>
      </w:pPr>
    </w:p>
    <w:p w14:paraId="4A7C6563" w14:textId="3C51DB3C" w:rsidR="0053464E" w:rsidRDefault="007755F4" w:rsidP="007755F4">
      <w:r w:rsidRPr="006C4530">
        <w:rPr>
          <w:lang w:bidi="ar-SA"/>
        </w:rPr>
        <w:t>FSANZ now seeks submissions to assist consideration of the draft variation to the Code.</w:t>
      </w:r>
      <w:r w:rsidR="0053464E">
        <w:br w:type="page"/>
      </w:r>
    </w:p>
    <w:p w14:paraId="214A7689" w14:textId="48C85A40" w:rsidR="002A5F8B" w:rsidRPr="000B6AF2" w:rsidRDefault="00F33BB8" w:rsidP="000B6AF2">
      <w:pPr>
        <w:pStyle w:val="Heading1"/>
      </w:pPr>
      <w:bookmarkStart w:id="14" w:name="_Toc300933417"/>
      <w:bookmarkStart w:id="15" w:name="_Toc114057798"/>
      <w:r>
        <w:lastRenderedPageBreak/>
        <w:t>1</w:t>
      </w:r>
      <w:r w:rsidR="001542D8">
        <w:tab/>
      </w:r>
      <w:r w:rsidR="002A5F8B" w:rsidRPr="000B6AF2">
        <w:t>Introduction</w:t>
      </w:r>
      <w:bookmarkEnd w:id="8"/>
      <w:bookmarkEnd w:id="14"/>
      <w:bookmarkEnd w:id="15"/>
    </w:p>
    <w:p w14:paraId="40B22B01" w14:textId="5FBD3D3C" w:rsidR="0053464E" w:rsidRPr="0053464E" w:rsidRDefault="00F33BB8" w:rsidP="00A56E34">
      <w:pPr>
        <w:pStyle w:val="Heading2"/>
      </w:pPr>
      <w:bookmarkStart w:id="16" w:name="_Toc300761890"/>
      <w:bookmarkStart w:id="17" w:name="_Toc114057799"/>
      <w:bookmarkStart w:id="18" w:name="_Toc300933419"/>
      <w:r>
        <w:t>1</w:t>
      </w:r>
      <w:r w:rsidR="0053464E" w:rsidRPr="0053464E">
        <w:t>.1</w:t>
      </w:r>
      <w:r w:rsidR="0053464E" w:rsidRPr="0053464E">
        <w:tab/>
        <w:t>The Applicant</w:t>
      </w:r>
      <w:bookmarkEnd w:id="16"/>
      <w:bookmarkEnd w:id="17"/>
      <w:r w:rsidR="00256D65" w:rsidRPr="00256D65">
        <w:t xml:space="preserve"> </w:t>
      </w:r>
      <w:bookmarkEnd w:id="18"/>
    </w:p>
    <w:p w14:paraId="01F01A9F" w14:textId="531D1128" w:rsidR="00E716A9" w:rsidRPr="000E731C" w:rsidRDefault="00E716A9" w:rsidP="00E716A9">
      <w:bookmarkStart w:id="19" w:name="_Toc300761891"/>
      <w:bookmarkStart w:id="20" w:name="_Toc300933420"/>
      <w:r w:rsidRPr="000E731C">
        <w:t xml:space="preserve">The </w:t>
      </w:r>
      <w:r>
        <w:t>a</w:t>
      </w:r>
      <w:r w:rsidRPr="000E731C">
        <w:t xml:space="preserve">pplicant is </w:t>
      </w:r>
      <w:r>
        <w:t>the Brewers Association of New Zealand</w:t>
      </w:r>
      <w:r w:rsidRPr="000E731C">
        <w:t>, a</w:t>
      </w:r>
      <w:r>
        <w:t>n incorporated society representing the interests of brewers in New Zealand.</w:t>
      </w:r>
    </w:p>
    <w:p w14:paraId="1D281F73" w14:textId="180EF1DC" w:rsidR="00F779F1" w:rsidRDefault="00F779F1" w:rsidP="00E716A9"/>
    <w:p w14:paraId="10614118" w14:textId="6414CB80" w:rsidR="00F779F1" w:rsidRPr="000E731C" w:rsidRDefault="00F779F1" w:rsidP="00E716A9">
      <w:r>
        <w:t xml:space="preserve">The </w:t>
      </w:r>
      <w:r w:rsidR="5F33F1CD">
        <w:t>a</w:t>
      </w:r>
      <w:r>
        <w:t>pplication is supported by</w:t>
      </w:r>
      <w:r w:rsidR="00445517">
        <w:t xml:space="preserve"> Visy Industries</w:t>
      </w:r>
      <w:r w:rsidR="00A837E9">
        <w:t xml:space="preserve"> (Australia</w:t>
      </w:r>
      <w:r w:rsidR="00145535">
        <w:t xml:space="preserve"> &amp; New Zealand</w:t>
      </w:r>
      <w:r w:rsidR="00A837E9">
        <w:t>)</w:t>
      </w:r>
      <w:r w:rsidR="007A0856">
        <w:t xml:space="preserve">, </w:t>
      </w:r>
      <w:r w:rsidR="00CC5D53">
        <w:t>New Zealand Brewers Guild</w:t>
      </w:r>
      <w:r w:rsidR="00A837E9">
        <w:t>,</w:t>
      </w:r>
      <w:r w:rsidR="00CC5D53">
        <w:t xml:space="preserve"> </w:t>
      </w:r>
      <w:r w:rsidR="00B412A4">
        <w:t>Brewers Association of Australia, Australian Grape and Wine</w:t>
      </w:r>
      <w:r w:rsidR="00852117">
        <w:t>,</w:t>
      </w:r>
      <w:r w:rsidR="008F3106">
        <w:t xml:space="preserve"> </w:t>
      </w:r>
      <w:r w:rsidR="00852117">
        <w:t>New Zealand Winegrowers,</w:t>
      </w:r>
      <w:r w:rsidR="008F3106">
        <w:t xml:space="preserve"> Spirits New Zealand, Spirits an</w:t>
      </w:r>
      <w:r w:rsidR="00890699">
        <w:t>d</w:t>
      </w:r>
      <w:r w:rsidR="008F3106">
        <w:t xml:space="preserve"> Cocktails Australia</w:t>
      </w:r>
      <w:r w:rsidR="00484883">
        <w:t xml:space="preserve"> and Asahi Beverages</w:t>
      </w:r>
      <w:r w:rsidR="00006EB0">
        <w:t xml:space="preserve"> Ltd (Australia).</w:t>
      </w:r>
    </w:p>
    <w:p w14:paraId="467EEA6D" w14:textId="5D041CBB" w:rsidR="0053464E" w:rsidRPr="0053464E" w:rsidRDefault="00F33BB8" w:rsidP="00A56E34">
      <w:pPr>
        <w:pStyle w:val="Heading2"/>
      </w:pPr>
      <w:bookmarkStart w:id="21" w:name="_Toc114057800"/>
      <w:r>
        <w:t>1</w:t>
      </w:r>
      <w:r w:rsidR="0053464E" w:rsidRPr="0053464E">
        <w:t>.2</w:t>
      </w:r>
      <w:r w:rsidR="0053464E" w:rsidRPr="0053464E">
        <w:tab/>
        <w:t xml:space="preserve">The </w:t>
      </w:r>
      <w:r w:rsidR="0053464E" w:rsidRPr="00E716A9">
        <w:t>Application</w:t>
      </w:r>
      <w:bookmarkEnd w:id="19"/>
      <w:bookmarkEnd w:id="20"/>
      <w:bookmarkEnd w:id="21"/>
    </w:p>
    <w:p w14:paraId="0DF431E4" w14:textId="48E9D9FA" w:rsidR="0053464E" w:rsidRPr="00E716A9" w:rsidRDefault="00E716A9" w:rsidP="0053464E">
      <w:bookmarkStart w:id="22" w:name="_Hlk113181291"/>
      <w:r>
        <w:t>The applicant is seeking to amend Standard 2.7.1 (Labelling of alcoholic beverages and food containing alcohol) of the Australia New Zealand Food Standards Code (the Code), to permit pregnancy warning</w:t>
      </w:r>
      <w:r w:rsidR="00CC5F8F">
        <w:t xml:space="preserve"> labels</w:t>
      </w:r>
      <w:r>
        <w:t xml:space="preserve"> on corrugated cardboard</w:t>
      </w:r>
      <w:r w:rsidR="000110A8">
        <w:t xml:space="preserve"> (CC)</w:t>
      </w:r>
      <w:r>
        <w:t xml:space="preserve"> packaging used for </w:t>
      </w:r>
      <w:r w:rsidR="001A67AA">
        <w:t xml:space="preserve">the </w:t>
      </w:r>
      <w:r w:rsidR="00013B92">
        <w:t xml:space="preserve">outer </w:t>
      </w:r>
      <w:r w:rsidR="00837CCC">
        <w:t>package</w:t>
      </w:r>
      <w:r w:rsidR="00013B92">
        <w:t xml:space="preserve"> of</w:t>
      </w:r>
      <w:r>
        <w:t xml:space="preserve"> multiple individual units of alcoholic beverages to be in a single colour on a contrasting background.</w:t>
      </w:r>
    </w:p>
    <w:bookmarkEnd w:id="22"/>
    <w:p w14:paraId="461A77EF" w14:textId="22D297BB" w:rsidR="0010530F" w:rsidRDefault="0010530F" w:rsidP="0010530F">
      <w:pPr>
        <w:tabs>
          <w:tab w:val="num" w:pos="567"/>
        </w:tabs>
      </w:pPr>
    </w:p>
    <w:p w14:paraId="211D8350" w14:textId="31AC9FF2" w:rsidR="009C39DD" w:rsidRDefault="00F01BA9" w:rsidP="0010530F">
      <w:pPr>
        <w:tabs>
          <w:tab w:val="num" w:pos="567"/>
        </w:tabs>
      </w:pPr>
      <w:bookmarkStart w:id="23" w:name="_Hlk113181414"/>
      <w:r>
        <w:t>Since the gazettal</w:t>
      </w:r>
      <w:r w:rsidR="00392385">
        <w:t xml:space="preserve"> of the requirements</w:t>
      </w:r>
      <w:r w:rsidR="000B5692">
        <w:t xml:space="preserve"> for pregnancy warning labels in July 2020 (from Proposal P1050 – Pregnancy wa</w:t>
      </w:r>
      <w:r w:rsidR="00F33DF6">
        <w:t>rn</w:t>
      </w:r>
      <w:r w:rsidR="000B5692">
        <w:t>ing labels on alcoholic beverages</w:t>
      </w:r>
      <w:r w:rsidR="009C39DD">
        <w:rPr>
          <w:rStyle w:val="FootnoteReference"/>
        </w:rPr>
        <w:footnoteReference w:id="4"/>
      </w:r>
      <w:r w:rsidR="002215C6">
        <w:t>)</w:t>
      </w:r>
      <w:r w:rsidR="00CF3728">
        <w:t xml:space="preserve"> a technical</w:t>
      </w:r>
      <w:r w:rsidR="00F33DF6">
        <w:t xml:space="preserve"> issue</w:t>
      </w:r>
      <w:r w:rsidR="00E1635A">
        <w:t xml:space="preserve"> </w:t>
      </w:r>
      <w:r w:rsidR="0A321A9D">
        <w:t>with</w:t>
      </w:r>
      <w:r w:rsidR="00E1635A">
        <w:t xml:space="preserve"> printing the warning </w:t>
      </w:r>
      <w:r w:rsidR="0104A013">
        <w:t xml:space="preserve">mark </w:t>
      </w:r>
      <w:r w:rsidR="00E1635A">
        <w:t>on CC packag</w:t>
      </w:r>
      <w:r w:rsidR="009C39DD">
        <w:t xml:space="preserve">ing </w:t>
      </w:r>
      <w:r w:rsidR="005D5F7F">
        <w:t xml:space="preserve">using a </w:t>
      </w:r>
      <w:r w:rsidR="15528C51">
        <w:t>post-print (flexographic)</w:t>
      </w:r>
      <w:r w:rsidR="001172FC">
        <w:t xml:space="preserve"> printing process</w:t>
      </w:r>
      <w:r w:rsidR="00476D16">
        <w:rPr>
          <w:rStyle w:val="FootnoteReference"/>
        </w:rPr>
        <w:footnoteReference w:id="5"/>
      </w:r>
      <w:r w:rsidR="00476D16">
        <w:t xml:space="preserve"> </w:t>
      </w:r>
      <w:r w:rsidR="6E18BE91">
        <w:t>has been identified</w:t>
      </w:r>
      <w:r w:rsidR="009C39DD">
        <w:t>.</w:t>
      </w:r>
    </w:p>
    <w:bookmarkEnd w:id="23"/>
    <w:p w14:paraId="2929D09C" w14:textId="77777777" w:rsidR="009C39DD" w:rsidRDefault="009C39DD" w:rsidP="0010530F">
      <w:pPr>
        <w:tabs>
          <w:tab w:val="num" w:pos="567"/>
        </w:tabs>
      </w:pPr>
    </w:p>
    <w:p w14:paraId="77823548" w14:textId="0D8B261B" w:rsidR="0010530F" w:rsidRDefault="0010530F" w:rsidP="3A6E3176">
      <w:pPr>
        <w:tabs>
          <w:tab w:val="num" w:pos="567"/>
        </w:tabs>
        <w:rPr>
          <w:rFonts w:cs="Arial"/>
        </w:rPr>
      </w:pPr>
      <w:bookmarkStart w:id="25" w:name="_Hlk113181540"/>
      <w:r>
        <w:t>Three colours (black, red and white) are currently prescribed for the pregnancy warning</w:t>
      </w:r>
      <w:r w:rsidR="005935B2">
        <w:t xml:space="preserve"> </w:t>
      </w:r>
      <w:r w:rsidR="6ACCEA3E">
        <w:t>mark</w:t>
      </w:r>
      <w:r>
        <w:t xml:space="preserve">. </w:t>
      </w:r>
      <w:r w:rsidR="00F87C71">
        <w:t xml:space="preserve">The applicant states </w:t>
      </w:r>
      <w:r w:rsidR="00103CC6">
        <w:t xml:space="preserve">that misalignment </w:t>
      </w:r>
      <w:r w:rsidR="00B51851">
        <w:t xml:space="preserve">of the </w:t>
      </w:r>
      <w:r>
        <w:t xml:space="preserve">warning </w:t>
      </w:r>
      <w:r w:rsidR="6B1902F0">
        <w:t>mark</w:t>
      </w:r>
      <w:r w:rsidR="005935B2">
        <w:t xml:space="preserve"> </w:t>
      </w:r>
      <w:r w:rsidR="00B51851">
        <w:t xml:space="preserve">occurs when </w:t>
      </w:r>
      <w:r>
        <w:t>using the standard</w:t>
      </w:r>
      <w:r w:rsidR="00F87C71">
        <w:t xml:space="preserve"> post</w:t>
      </w:r>
      <w:r w:rsidR="008E4DDC">
        <w:t>-</w:t>
      </w:r>
      <w:r w:rsidR="00F87C71">
        <w:t>print printing process</w:t>
      </w:r>
      <w:r w:rsidR="00AC74DC">
        <w:t xml:space="preserve"> </w:t>
      </w:r>
      <w:r w:rsidR="00B77AE5">
        <w:t xml:space="preserve">on </w:t>
      </w:r>
      <w:r w:rsidR="00C205F2">
        <w:t>CC</w:t>
      </w:r>
      <w:r w:rsidR="006F3580">
        <w:t>.</w:t>
      </w:r>
      <w:r w:rsidR="00F87C71">
        <w:t xml:space="preserve"> </w:t>
      </w:r>
      <w:r w:rsidR="00BC5EAC">
        <w:t xml:space="preserve">A misaligned </w:t>
      </w:r>
      <w:r w:rsidR="488E8AAE">
        <w:t>mark</w:t>
      </w:r>
      <w:r w:rsidR="001A1F83">
        <w:t xml:space="preserve"> </w:t>
      </w:r>
      <w:r w:rsidR="625FF1FD">
        <w:t xml:space="preserve">(see Figure 1 below) </w:t>
      </w:r>
      <w:r w:rsidR="001A1F83">
        <w:t>can be difficult to read and have reduced effectivenes</w:t>
      </w:r>
      <w:r w:rsidR="003C5092">
        <w:t xml:space="preserve">s </w:t>
      </w:r>
      <w:r w:rsidR="00294978">
        <w:t>.</w:t>
      </w:r>
      <w:r w:rsidR="001E7A1A">
        <w:t xml:space="preserve">The applicant states </w:t>
      </w:r>
      <w:r w:rsidR="0EA5730A">
        <w:t>misalignment</w:t>
      </w:r>
      <w:r w:rsidR="00644A8C">
        <w:t xml:space="preserve"> </w:t>
      </w:r>
      <w:r w:rsidR="00B11CEE">
        <w:t xml:space="preserve">is </w:t>
      </w:r>
      <w:r w:rsidR="00644A8C">
        <w:t xml:space="preserve">due to a </w:t>
      </w:r>
      <w:r w:rsidR="00644A8C">
        <w:rPr>
          <w:rFonts w:cs="Arial"/>
        </w:rPr>
        <w:t>+/-3 mm margin of error for print registration for each colour (i.e. each colour is printed directly onto the board in a sequential manner).</w:t>
      </w:r>
      <w:r w:rsidR="00E64C8B">
        <w:rPr>
          <w:rFonts w:cs="Arial"/>
        </w:rPr>
        <w:t xml:space="preserve"> </w:t>
      </w:r>
      <w:r w:rsidR="001E7A1A">
        <w:t xml:space="preserve">According to the applicant, </w:t>
      </w:r>
      <w:r w:rsidR="00B92787">
        <w:rPr>
          <w:rFonts w:cs="Arial"/>
        </w:rPr>
        <w:t>the requested amendment would resolve this technical issue</w:t>
      </w:r>
      <w:r w:rsidR="001F4E9A">
        <w:rPr>
          <w:rFonts w:cs="Arial"/>
        </w:rPr>
        <w:t>.</w:t>
      </w:r>
      <w:r w:rsidR="00B92787">
        <w:rPr>
          <w:rFonts w:cs="Arial"/>
        </w:rPr>
        <w:t xml:space="preserve"> </w:t>
      </w:r>
      <w:r w:rsidR="006B6781">
        <w:t xml:space="preserve">The applicant also advised that </w:t>
      </w:r>
      <w:r w:rsidR="00934B45">
        <w:rPr>
          <w:rFonts w:cs="Arial"/>
        </w:rPr>
        <w:t xml:space="preserve">options currently available to resolve the misalignment issue are not practical or feasible. </w:t>
      </w:r>
    </w:p>
    <w:bookmarkEnd w:id="25"/>
    <w:p w14:paraId="6A0806B8" w14:textId="77777777" w:rsidR="0049672E" w:rsidRDefault="0049672E" w:rsidP="0010530F">
      <w:pPr>
        <w:tabs>
          <w:tab w:val="num" w:pos="567"/>
        </w:tabs>
        <w:rPr>
          <w:rFonts w:cs="Arial"/>
        </w:rPr>
      </w:pPr>
    </w:p>
    <w:p w14:paraId="41602E5A" w14:textId="69B97A75" w:rsidR="003C5092" w:rsidRDefault="003C5092" w:rsidP="003C5092">
      <w:pPr>
        <w:tabs>
          <w:tab w:val="num" w:pos="567"/>
        </w:tabs>
        <w:jc w:val="center"/>
        <w:rPr>
          <w:rFonts w:cs="Arial"/>
        </w:rPr>
      </w:pPr>
      <w:r>
        <w:rPr>
          <w:rFonts w:cs="Arial"/>
          <w:noProof/>
          <w:lang w:eastAsia="en-GB" w:bidi="ar-SA"/>
        </w:rPr>
        <w:drawing>
          <wp:inline distT="0" distB="0" distL="0" distR="0" wp14:anchorId="0B9BCF65" wp14:editId="737016F3">
            <wp:extent cx="2343150" cy="790575"/>
            <wp:effectExtent l="0" t="0" r="0" b="9525"/>
            <wp:docPr id="4" name="Picture 2"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websit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3150" cy="790575"/>
                    </a:xfrm>
                    <a:prstGeom prst="rect">
                      <a:avLst/>
                    </a:prstGeom>
                    <a:noFill/>
                    <a:ln>
                      <a:noFill/>
                    </a:ln>
                  </pic:spPr>
                </pic:pic>
              </a:graphicData>
            </a:graphic>
          </wp:inline>
        </w:drawing>
      </w:r>
    </w:p>
    <w:p w14:paraId="07607962" w14:textId="679042AF" w:rsidR="003C5092" w:rsidRDefault="003C5092" w:rsidP="0010530F">
      <w:pPr>
        <w:tabs>
          <w:tab w:val="num" w:pos="567"/>
        </w:tabs>
        <w:rPr>
          <w:rFonts w:cs="Arial"/>
        </w:rPr>
      </w:pPr>
      <w:r>
        <w:rPr>
          <w:rFonts w:cs="Arial"/>
        </w:rPr>
        <w:tab/>
        <w:t xml:space="preserve">Figure 1: Example of a misaligned pregnancy warning </w:t>
      </w:r>
      <w:r w:rsidR="2CF9F43A">
        <w:rPr>
          <w:rFonts w:cs="Arial"/>
        </w:rPr>
        <w:t>mark</w:t>
      </w:r>
    </w:p>
    <w:p w14:paraId="19A9ED51" w14:textId="77777777" w:rsidR="003C5092" w:rsidRDefault="003C5092" w:rsidP="0010530F">
      <w:pPr>
        <w:tabs>
          <w:tab w:val="num" w:pos="567"/>
        </w:tabs>
        <w:rPr>
          <w:rFonts w:cs="Arial"/>
        </w:rPr>
      </w:pPr>
    </w:p>
    <w:p w14:paraId="44F2171F" w14:textId="245B125C" w:rsidR="0049672E" w:rsidRDefault="0049672E" w:rsidP="0010530F">
      <w:pPr>
        <w:tabs>
          <w:tab w:val="num" w:pos="567"/>
        </w:tabs>
        <w:rPr>
          <w:rFonts w:cs="Arial"/>
        </w:rPr>
      </w:pPr>
      <w:r w:rsidRPr="3A6E3176">
        <w:rPr>
          <w:rFonts w:cs="Arial"/>
        </w:rPr>
        <w:t>The scope of the application</w:t>
      </w:r>
      <w:r w:rsidR="00E02F59" w:rsidRPr="3A6E3176">
        <w:rPr>
          <w:rFonts w:cs="Arial"/>
        </w:rPr>
        <w:t xml:space="preserve"> is limited to the pregnancy warning</w:t>
      </w:r>
      <w:r w:rsidR="00AC74DC" w:rsidRPr="3A6E3176">
        <w:rPr>
          <w:rFonts w:cs="Arial"/>
        </w:rPr>
        <w:t xml:space="preserve"> </w:t>
      </w:r>
      <w:r w:rsidR="6F41377A" w:rsidRPr="3A6E3176">
        <w:rPr>
          <w:rFonts w:cs="Arial"/>
        </w:rPr>
        <w:t>mark</w:t>
      </w:r>
      <w:r w:rsidR="00E02F59" w:rsidRPr="3A6E3176">
        <w:rPr>
          <w:rFonts w:cs="Arial"/>
        </w:rPr>
        <w:t xml:space="preserve"> on </w:t>
      </w:r>
      <w:r w:rsidR="000110A8" w:rsidRPr="3A6E3176">
        <w:rPr>
          <w:rFonts w:cs="Arial"/>
        </w:rPr>
        <w:t>CC</w:t>
      </w:r>
      <w:r w:rsidR="00E02F59" w:rsidRPr="3A6E3176">
        <w:rPr>
          <w:rFonts w:cs="Arial"/>
        </w:rPr>
        <w:t xml:space="preserve"> packaging</w:t>
      </w:r>
      <w:r w:rsidR="001E1D4D" w:rsidRPr="3A6E3176">
        <w:rPr>
          <w:rFonts w:cs="Arial"/>
        </w:rPr>
        <w:t xml:space="preserve"> as follows:</w:t>
      </w:r>
    </w:p>
    <w:p w14:paraId="39F65527" w14:textId="77777777" w:rsidR="001E1D4D" w:rsidRDefault="001E1D4D" w:rsidP="0010530F">
      <w:pPr>
        <w:tabs>
          <w:tab w:val="num" w:pos="567"/>
        </w:tabs>
        <w:rPr>
          <w:rFonts w:cs="Arial"/>
        </w:rPr>
      </w:pPr>
    </w:p>
    <w:p w14:paraId="4B968307" w14:textId="5522A75B" w:rsidR="001E1D4D" w:rsidRDefault="005B37A9" w:rsidP="00FA3085">
      <w:pPr>
        <w:pStyle w:val="ListParagraph"/>
        <w:numPr>
          <w:ilvl w:val="0"/>
          <w:numId w:val="5"/>
        </w:numPr>
        <w:tabs>
          <w:tab w:val="num" w:pos="567"/>
        </w:tabs>
        <w:ind w:left="567" w:hanging="567"/>
      </w:pPr>
      <w:r>
        <w:t>t</w:t>
      </w:r>
      <w:r w:rsidR="000110A8">
        <w:t>he CC packaging material consists of at least three layers</w:t>
      </w:r>
      <w:r>
        <w:t xml:space="preserve"> (</w:t>
      </w:r>
      <w:r w:rsidR="00EE769F">
        <w:t>outside</w:t>
      </w:r>
      <w:r w:rsidR="00F77654">
        <w:t xml:space="preserve"> liner</w:t>
      </w:r>
      <w:r>
        <w:t xml:space="preserve">, </w:t>
      </w:r>
      <w:r w:rsidR="00F77654">
        <w:t>fluted medium</w:t>
      </w:r>
      <w:r>
        <w:t xml:space="preserve">, </w:t>
      </w:r>
      <w:r w:rsidR="00F77654">
        <w:t>inside liner</w:t>
      </w:r>
      <w:r w:rsidR="00483CC7">
        <w:t>)</w:t>
      </w:r>
      <w:r w:rsidR="00E615C3">
        <w:t>; and</w:t>
      </w:r>
    </w:p>
    <w:p w14:paraId="2810C30E" w14:textId="2BC73BA2" w:rsidR="005B37A9" w:rsidRDefault="005B37A9" w:rsidP="00FA3085">
      <w:pPr>
        <w:pStyle w:val="ListParagraph"/>
        <w:numPr>
          <w:ilvl w:val="0"/>
          <w:numId w:val="5"/>
        </w:numPr>
        <w:tabs>
          <w:tab w:val="num" w:pos="567"/>
        </w:tabs>
        <w:ind w:left="567" w:hanging="567"/>
      </w:pPr>
      <w:r>
        <w:t>the CC packaging is in the form of a box or carton</w:t>
      </w:r>
      <w:r w:rsidR="00E615C3">
        <w:t>; and</w:t>
      </w:r>
    </w:p>
    <w:p w14:paraId="097B77E8" w14:textId="4284702B" w:rsidR="000D2B1D" w:rsidRDefault="00F1170A" w:rsidP="00FA3085">
      <w:pPr>
        <w:pStyle w:val="ListParagraph"/>
        <w:numPr>
          <w:ilvl w:val="0"/>
          <w:numId w:val="5"/>
        </w:numPr>
        <w:tabs>
          <w:tab w:val="num" w:pos="567"/>
        </w:tabs>
        <w:ind w:left="567" w:hanging="567"/>
      </w:pPr>
      <w:r>
        <w:t>the</w:t>
      </w:r>
      <w:r w:rsidR="00645D89">
        <w:t xml:space="preserve"> pregnancy warning</w:t>
      </w:r>
      <w:r w:rsidR="00AC74DC">
        <w:t xml:space="preserve"> </w:t>
      </w:r>
      <w:r w:rsidR="00E967AF">
        <w:t>mark</w:t>
      </w:r>
      <w:r w:rsidR="00645D89">
        <w:t xml:space="preserve"> on the</w:t>
      </w:r>
      <w:r>
        <w:t xml:space="preserve"> CC packaging is printed using the post-print process</w:t>
      </w:r>
      <w:r w:rsidR="00E615C3">
        <w:t>; and</w:t>
      </w:r>
    </w:p>
    <w:p w14:paraId="4A5A9BE7" w14:textId="737C565F" w:rsidR="005B37A9" w:rsidRDefault="00BD334C" w:rsidP="00FA3085">
      <w:pPr>
        <w:pStyle w:val="ListParagraph"/>
        <w:numPr>
          <w:ilvl w:val="0"/>
          <w:numId w:val="5"/>
        </w:numPr>
        <w:tabs>
          <w:tab w:val="num" w:pos="567"/>
        </w:tabs>
        <w:ind w:left="567" w:hanging="567"/>
      </w:pPr>
      <w:r>
        <w:lastRenderedPageBreak/>
        <w:t xml:space="preserve">the CC packaging contains multiple individual units of </w:t>
      </w:r>
      <w:r w:rsidR="00DB057A">
        <w:t>a prescribed alcoholic beverage</w:t>
      </w:r>
      <w:r w:rsidR="00F8771F">
        <w:t>, each of which is labelled with the warning</w:t>
      </w:r>
      <w:r w:rsidR="00E54240">
        <w:t xml:space="preserve"> label</w:t>
      </w:r>
      <w:r w:rsidR="00F8771F">
        <w:t xml:space="preserve"> as required by Standard 2.7.1</w:t>
      </w:r>
      <w:r w:rsidR="00E615C3">
        <w:t>; and</w:t>
      </w:r>
    </w:p>
    <w:p w14:paraId="51A67731" w14:textId="19BF1049" w:rsidR="000D2B1D" w:rsidRDefault="000D2B1D" w:rsidP="00FA3085">
      <w:pPr>
        <w:pStyle w:val="ListParagraph"/>
        <w:numPr>
          <w:ilvl w:val="0"/>
          <w:numId w:val="5"/>
        </w:numPr>
        <w:tabs>
          <w:tab w:val="num" w:pos="567"/>
        </w:tabs>
        <w:ind w:left="567" w:hanging="567"/>
      </w:pPr>
      <w:r>
        <w:t>the individual units of the prescribed alcoholic beverage cannot be consumed without removing them from the CC packaging</w:t>
      </w:r>
      <w:r w:rsidR="00645D89">
        <w:t>.</w:t>
      </w:r>
    </w:p>
    <w:p w14:paraId="3E71A54E" w14:textId="77777777" w:rsidR="00C37B1C" w:rsidRDefault="00C37B1C" w:rsidP="00C37B1C">
      <w:pPr>
        <w:tabs>
          <w:tab w:val="num" w:pos="567"/>
        </w:tabs>
      </w:pPr>
    </w:p>
    <w:p w14:paraId="7F903A81" w14:textId="0C5F19DA" w:rsidR="00DB74F0" w:rsidRDefault="00DB74F0" w:rsidP="00DB74F0">
      <w:r>
        <w:t xml:space="preserve">No other </w:t>
      </w:r>
      <w:r w:rsidR="00D51F15">
        <w:t xml:space="preserve">pregnancy warning labelling </w:t>
      </w:r>
      <w:r>
        <w:t>requirements are being reviewed in the context of this application.</w:t>
      </w:r>
    </w:p>
    <w:p w14:paraId="7A3CE176" w14:textId="77777777" w:rsidR="00DB74F0" w:rsidRDefault="00DB74F0" w:rsidP="00C37B1C">
      <w:pPr>
        <w:tabs>
          <w:tab w:val="num" w:pos="567"/>
        </w:tabs>
      </w:pPr>
    </w:p>
    <w:p w14:paraId="76451F35" w14:textId="2824F06E" w:rsidR="004A363A" w:rsidRDefault="00515999" w:rsidP="00C37B1C">
      <w:pPr>
        <w:tabs>
          <w:tab w:val="num" w:pos="567"/>
        </w:tabs>
      </w:pPr>
      <w:r>
        <w:t xml:space="preserve">The applicant </w:t>
      </w:r>
      <w:r w:rsidR="00F03C20">
        <w:t>states the misalignment issue affects</w:t>
      </w:r>
      <w:r w:rsidR="00C1740C">
        <w:t xml:space="preserve"> CC </w:t>
      </w:r>
      <w:r w:rsidR="002A749C">
        <w:t xml:space="preserve">outer </w:t>
      </w:r>
      <w:r w:rsidR="00C1740C">
        <w:t>packages that are</w:t>
      </w:r>
      <w:r w:rsidR="006B17C8">
        <w:t xml:space="preserve"> primarily used for</w:t>
      </w:r>
      <w:r w:rsidR="00F03C20">
        <w:t xml:space="preserve"> larger multi</w:t>
      </w:r>
      <w:r w:rsidR="51278DE1">
        <w:t>-</w:t>
      </w:r>
      <w:r w:rsidR="00F03C20">
        <w:t>packs of beer, cider and pre-mixed drinks (e.g. 12, 16, 18 and 24 packs) as well as wine (6 and 12 bottle cases).</w:t>
      </w:r>
    </w:p>
    <w:p w14:paraId="49F58702" w14:textId="77777777" w:rsidR="004A363A" w:rsidRDefault="004A363A" w:rsidP="00C37B1C">
      <w:pPr>
        <w:tabs>
          <w:tab w:val="num" w:pos="567"/>
        </w:tabs>
      </w:pPr>
    </w:p>
    <w:p w14:paraId="48BD05C8" w14:textId="50A32E40" w:rsidR="00C37B1C" w:rsidRPr="00E716A9" w:rsidRDefault="000876C8" w:rsidP="00C37B1C">
      <w:pPr>
        <w:tabs>
          <w:tab w:val="num" w:pos="567"/>
        </w:tabs>
      </w:pPr>
      <w:r>
        <w:t>The applicant estimate</w:t>
      </w:r>
      <w:r w:rsidR="00EA4E17">
        <w:t>s</w:t>
      </w:r>
      <w:r w:rsidR="006759A1">
        <w:t xml:space="preserve"> individual </w:t>
      </w:r>
      <w:r w:rsidR="0022084E">
        <w:t xml:space="preserve">alcoholic beverage producers use </w:t>
      </w:r>
      <w:r w:rsidR="00F5225E">
        <w:t xml:space="preserve">the </w:t>
      </w:r>
      <w:r w:rsidR="0022084E">
        <w:t xml:space="preserve">post-print </w:t>
      </w:r>
      <w:r w:rsidR="00F5225E">
        <w:t xml:space="preserve">process </w:t>
      </w:r>
      <w:r w:rsidR="0022084E">
        <w:t xml:space="preserve">for the majority of their CC packaging. </w:t>
      </w:r>
      <w:r w:rsidR="00F16854">
        <w:rPr>
          <w:lang w:val="en-AU"/>
        </w:rPr>
        <w:t>They estimate 8% of beer and cider, 9.5% of wine and 12.5% of pre-mixed drinks are in CC packaging at the retail point of sale</w:t>
      </w:r>
      <w:r w:rsidR="00F16854">
        <w:t xml:space="preserve"> </w:t>
      </w:r>
      <w:r w:rsidR="7F64AEEC">
        <w:t xml:space="preserve"> </w:t>
      </w:r>
      <w:r w:rsidR="351BBAEC">
        <w:t>i</w:t>
      </w:r>
      <w:r w:rsidR="7F64AEEC">
        <w:t>.e.</w:t>
      </w:r>
      <w:r w:rsidR="00BC5DA0">
        <w:t xml:space="preserve"> most CC packaging is used for transportation</w:t>
      </w:r>
      <w:r w:rsidR="17D23538">
        <w:t>,</w:t>
      </w:r>
      <w:r w:rsidR="00BC5DA0">
        <w:t xml:space="preserve"> </w:t>
      </w:r>
      <w:r w:rsidR="009B7238">
        <w:t xml:space="preserve">not </w:t>
      </w:r>
      <w:r w:rsidR="005238CB">
        <w:t>retail point of sale</w:t>
      </w:r>
      <w:r w:rsidR="009B7238">
        <w:t>. Th</w:t>
      </w:r>
      <w:r w:rsidR="004A162E">
        <w:t xml:space="preserve">e applicant therefore claims the </w:t>
      </w:r>
      <w:r w:rsidR="005F2DBF">
        <w:t xml:space="preserve">proposed amendment to the colour requirements would </w:t>
      </w:r>
      <w:r w:rsidR="00FC039E">
        <w:t>have a very minor impact on potential purchaser</w:t>
      </w:r>
      <w:r w:rsidR="002A7795">
        <w:t xml:space="preserve"> </w:t>
      </w:r>
      <w:r w:rsidR="00163F63">
        <w:t>and/</w:t>
      </w:r>
      <w:r w:rsidR="002A7795">
        <w:t>or consumer</w:t>
      </w:r>
      <w:r w:rsidR="00FC039E">
        <w:t xml:space="preserve"> attention to the pregnancy warning</w:t>
      </w:r>
      <w:r w:rsidR="00163F63">
        <w:t xml:space="preserve"> </w:t>
      </w:r>
      <w:r w:rsidR="00E967AF">
        <w:t>mark</w:t>
      </w:r>
      <w:r w:rsidR="00FC039E">
        <w:t>.</w:t>
      </w:r>
    </w:p>
    <w:p w14:paraId="6C2AA695" w14:textId="3ADF1D36" w:rsidR="0053464E" w:rsidRPr="0053464E" w:rsidRDefault="00F33BB8" w:rsidP="00A56E34">
      <w:pPr>
        <w:pStyle w:val="Heading2"/>
      </w:pPr>
      <w:bookmarkStart w:id="26" w:name="_Toc300761892"/>
      <w:bookmarkStart w:id="27" w:name="_Toc300933421"/>
      <w:bookmarkStart w:id="28" w:name="_Toc114057801"/>
      <w:r>
        <w:t>1</w:t>
      </w:r>
      <w:r w:rsidR="00A56E34">
        <w:t>.3</w:t>
      </w:r>
      <w:r w:rsidR="00A56E34">
        <w:tab/>
        <w:t>The c</w:t>
      </w:r>
      <w:r w:rsidR="0053464E" w:rsidRPr="0053464E">
        <w:t xml:space="preserve">urrent </w:t>
      </w:r>
      <w:r w:rsidR="00E72650">
        <w:t>s</w:t>
      </w:r>
      <w:r w:rsidR="0053464E" w:rsidRPr="0053464E">
        <w:t>tandard</w:t>
      </w:r>
      <w:bookmarkEnd w:id="26"/>
      <w:bookmarkEnd w:id="27"/>
      <w:bookmarkEnd w:id="28"/>
    </w:p>
    <w:p w14:paraId="141A78B5" w14:textId="77777777" w:rsidR="00E615C3" w:rsidRDefault="00E615C3" w:rsidP="00E615C3">
      <w:r>
        <w:t>Paragraph 1.1.1—10(8) of the Code provides that food for sale must comply with all relevant labelling requirements in the Code. </w:t>
      </w:r>
    </w:p>
    <w:p w14:paraId="56958202" w14:textId="77777777" w:rsidR="00E615C3" w:rsidRDefault="00E615C3" w:rsidP="00E615C3"/>
    <w:p w14:paraId="327001B9" w14:textId="12570E71" w:rsidR="00E615C3" w:rsidRDefault="00E615C3" w:rsidP="00E615C3">
      <w:r>
        <w:t>Standard 2.7.1 of the Code sets labelling requirements for alcoholic beverages and food containing alcohol. Standard 2.7.1</w:t>
      </w:r>
      <w:r w:rsidR="00E75CBC">
        <w:rPr>
          <w:rStyle w:val="FootnoteReference"/>
        </w:rPr>
        <w:footnoteReference w:id="6"/>
      </w:r>
      <w:r>
        <w:t xml:space="preserve"> and Standard 1.1.2 </w:t>
      </w:r>
      <w:r w:rsidR="00F5225E">
        <w:t xml:space="preserve">(Definitions used throughout the Code) </w:t>
      </w:r>
      <w:r>
        <w:t>were amended in 2020</w:t>
      </w:r>
      <w:r w:rsidR="00E75CBC">
        <w:rPr>
          <w:rStyle w:val="FootnoteReference"/>
        </w:rPr>
        <w:footnoteReference w:id="7"/>
      </w:r>
      <w:r>
        <w:t xml:space="preserve"> to require </w:t>
      </w:r>
      <w:r w:rsidR="00451C74">
        <w:t>a packaged</w:t>
      </w:r>
      <w:r>
        <w:t xml:space="preserve"> </w:t>
      </w:r>
      <w:r w:rsidRPr="00451C74">
        <w:rPr>
          <w:i/>
          <w:iCs/>
        </w:rPr>
        <w:t>prescribed alcoholic beverage</w:t>
      </w:r>
      <w:r>
        <w:t xml:space="preserve"> to display a pregnancy warning label. </w:t>
      </w:r>
    </w:p>
    <w:p w14:paraId="02E75E40" w14:textId="63ECB45D" w:rsidR="00E615C3" w:rsidRDefault="00E615C3" w:rsidP="00E615C3"/>
    <w:p w14:paraId="4BF0D573" w14:textId="0904A5BE" w:rsidR="00451C74" w:rsidRDefault="00451C74" w:rsidP="00451C74">
      <w:r>
        <w:t xml:space="preserve">Standard 1.1.2 provides that a </w:t>
      </w:r>
      <w:r w:rsidRPr="00F9396C">
        <w:rPr>
          <w:b/>
          <w:bCs/>
          <w:i/>
          <w:iCs/>
        </w:rPr>
        <w:t>prescribed alcoholic beverage</w:t>
      </w:r>
      <w:r>
        <w:t xml:space="preserve"> is a beverage that:</w:t>
      </w:r>
    </w:p>
    <w:p w14:paraId="71397065" w14:textId="77777777" w:rsidR="00451C74" w:rsidRDefault="00451C74" w:rsidP="00451C74"/>
    <w:p w14:paraId="4399C7CE" w14:textId="77777777" w:rsidR="00451C74" w:rsidRDefault="00451C74" w:rsidP="00451C74">
      <w:r>
        <w:t>(a)</w:t>
      </w:r>
      <w:r>
        <w:tab/>
        <w:t>has more than 1.15% alcohol by volume; and</w:t>
      </w:r>
    </w:p>
    <w:p w14:paraId="7D930013" w14:textId="77777777" w:rsidR="00451C74" w:rsidRDefault="00451C74" w:rsidP="00451C74">
      <w:r>
        <w:t>(b)</w:t>
      </w:r>
      <w:r>
        <w:tab/>
        <w:t>either:</w:t>
      </w:r>
    </w:p>
    <w:p w14:paraId="0B76DBBB" w14:textId="55BD2452" w:rsidR="00451C74" w:rsidRDefault="00451C74" w:rsidP="00451C74">
      <w:r>
        <w:tab/>
        <w:t>(</w:t>
      </w:r>
      <w:proofErr w:type="spellStart"/>
      <w:r>
        <w:t>i</w:t>
      </w:r>
      <w:proofErr w:type="spellEnd"/>
      <w:r>
        <w:t>)</w:t>
      </w:r>
      <w:r>
        <w:tab/>
        <w:t>is for retail sale; or</w:t>
      </w:r>
    </w:p>
    <w:p w14:paraId="69D84E1A" w14:textId="598E0371" w:rsidR="00451C74" w:rsidRDefault="00451C74" w:rsidP="00451C74">
      <w:r>
        <w:tab/>
        <w:t>(ii)</w:t>
      </w:r>
      <w:r>
        <w:tab/>
        <w:t xml:space="preserve">is sold as suitable for retail sale without any further processing, packaging or </w:t>
      </w:r>
      <w:r>
        <w:tab/>
      </w:r>
      <w:r>
        <w:tab/>
        <w:t>labelling; and</w:t>
      </w:r>
    </w:p>
    <w:p w14:paraId="374683F3" w14:textId="77777777" w:rsidR="00451C74" w:rsidRDefault="00451C74" w:rsidP="00451C74"/>
    <w:p w14:paraId="2A392BFD" w14:textId="19F71753" w:rsidR="00451C74" w:rsidRDefault="00451C74" w:rsidP="00451C74">
      <w:r>
        <w:t>(a)</w:t>
      </w:r>
      <w:r>
        <w:tab/>
        <w:t>does not include a beverage that:</w:t>
      </w:r>
    </w:p>
    <w:p w14:paraId="6E595C01" w14:textId="0EB1DD6D" w:rsidR="00451C74" w:rsidRDefault="00451C74" w:rsidP="00451C74">
      <w:r>
        <w:tab/>
        <w:t>(</w:t>
      </w:r>
      <w:proofErr w:type="spellStart"/>
      <w:r>
        <w:t>i</w:t>
      </w:r>
      <w:proofErr w:type="spellEnd"/>
      <w:r>
        <w:t>)</w:t>
      </w:r>
      <w:r>
        <w:tab/>
        <w:t>is sold for retail sale; and</w:t>
      </w:r>
    </w:p>
    <w:p w14:paraId="0AD03F9C" w14:textId="2712CCDD" w:rsidR="00451C74" w:rsidRDefault="00451C74" w:rsidP="00451C74">
      <w:r>
        <w:tab/>
        <w:t>(ii)</w:t>
      </w:r>
      <w:r>
        <w:tab/>
        <w:t>is packaged in the presence of the purchaser.</w:t>
      </w:r>
    </w:p>
    <w:p w14:paraId="163D5C92" w14:textId="5035CCDF" w:rsidR="00E615C3" w:rsidRDefault="00E615C3" w:rsidP="00E615C3"/>
    <w:p w14:paraId="068CB163" w14:textId="0FD04757" w:rsidR="00451C74" w:rsidRDefault="00451C74" w:rsidP="00451C74">
      <w:r w:rsidRPr="00451C74">
        <w:t>Standard 1.1.2 also provides the following definitions for the purposes of Standard 2.7.1:</w:t>
      </w:r>
    </w:p>
    <w:p w14:paraId="444D7E7E" w14:textId="73F8527C" w:rsidR="00451C74" w:rsidRDefault="00451C74" w:rsidP="00451C74"/>
    <w:p w14:paraId="4156745D" w14:textId="0EBA2716" w:rsidR="00451C74" w:rsidRDefault="00451C74" w:rsidP="00451C74">
      <w:pPr>
        <w:rPr>
          <w:lang w:val="en-AU"/>
        </w:rPr>
      </w:pPr>
      <w:r>
        <w:rPr>
          <w:b/>
          <w:bCs/>
          <w:i/>
          <w:iCs/>
          <w:lang w:val="en-AU"/>
        </w:rPr>
        <w:tab/>
      </w:r>
      <w:r w:rsidRPr="3A6E3176">
        <w:rPr>
          <w:b/>
          <w:bCs/>
          <w:i/>
          <w:iCs/>
          <w:lang w:val="en-AU"/>
        </w:rPr>
        <w:t>Pregnancy warning label</w:t>
      </w:r>
      <w:r>
        <w:rPr>
          <w:lang w:val="en-AU"/>
        </w:rPr>
        <w:t xml:space="preserve"> means either the pregnancy warning pictogram or the </w:t>
      </w:r>
      <w:r>
        <w:rPr>
          <w:lang w:val="en-AU"/>
        </w:rPr>
        <w:tab/>
      </w:r>
      <w:r>
        <w:tab/>
      </w:r>
      <w:r w:rsidRPr="3A6E3176">
        <w:rPr>
          <w:lang w:val="en-AU"/>
        </w:rPr>
        <w:t>pregnancy warning mark.</w:t>
      </w:r>
    </w:p>
    <w:p w14:paraId="2CBAED8D" w14:textId="77777777" w:rsidR="00451C74" w:rsidRDefault="00451C74" w:rsidP="00451C74">
      <w:pPr>
        <w:rPr>
          <w:lang w:val="en-AU"/>
        </w:rPr>
      </w:pPr>
    </w:p>
    <w:p w14:paraId="1A3804EE" w14:textId="77777777" w:rsidR="00451C74" w:rsidRDefault="00451C74" w:rsidP="00451C74">
      <w:pPr>
        <w:pStyle w:val="FootnoteText"/>
        <w:rPr>
          <w:sz w:val="22"/>
          <w:szCs w:val="22"/>
          <w:lang w:val="en-AU"/>
        </w:rPr>
      </w:pPr>
      <w:r>
        <w:rPr>
          <w:lang w:val="en-AU"/>
        </w:rPr>
        <w:tab/>
      </w:r>
      <w:r w:rsidRPr="00061B84">
        <w:rPr>
          <w:b/>
          <w:bCs/>
          <w:i/>
          <w:iCs/>
          <w:sz w:val="22"/>
          <w:szCs w:val="22"/>
          <w:lang w:val="en-AU"/>
        </w:rPr>
        <w:t>Pregnancy warning mark</w:t>
      </w:r>
      <w:r w:rsidRPr="00061B84">
        <w:rPr>
          <w:sz w:val="22"/>
          <w:szCs w:val="22"/>
          <w:lang w:val="en-AU"/>
        </w:rPr>
        <w:t xml:space="preserve"> means the following image</w:t>
      </w:r>
      <w:r>
        <w:rPr>
          <w:sz w:val="22"/>
          <w:szCs w:val="22"/>
          <w:lang w:val="en-AU"/>
        </w:rPr>
        <w:t xml:space="preserve"> comprising</w:t>
      </w:r>
      <w:r w:rsidRPr="00061B84">
        <w:rPr>
          <w:sz w:val="22"/>
          <w:szCs w:val="22"/>
          <w:lang w:val="en-AU"/>
        </w:rPr>
        <w:t xml:space="preserve">: </w:t>
      </w:r>
    </w:p>
    <w:p w14:paraId="7221D59B" w14:textId="77777777" w:rsidR="00451C74" w:rsidRDefault="00451C74" w:rsidP="00FA3085">
      <w:pPr>
        <w:pStyle w:val="FootnoteText"/>
        <w:numPr>
          <w:ilvl w:val="0"/>
          <w:numId w:val="4"/>
        </w:numPr>
        <w:rPr>
          <w:sz w:val="22"/>
          <w:szCs w:val="22"/>
          <w:lang w:val="en-AU"/>
        </w:rPr>
      </w:pPr>
      <w:r>
        <w:rPr>
          <w:sz w:val="22"/>
          <w:szCs w:val="22"/>
          <w:lang w:val="en-AU"/>
        </w:rPr>
        <w:t>the pregnancy warning pictogram,</w:t>
      </w:r>
    </w:p>
    <w:p w14:paraId="170C8F86" w14:textId="77777777" w:rsidR="00451C74" w:rsidRDefault="00451C74" w:rsidP="00FA3085">
      <w:pPr>
        <w:pStyle w:val="FootnoteText"/>
        <w:numPr>
          <w:ilvl w:val="0"/>
          <w:numId w:val="4"/>
        </w:numPr>
        <w:rPr>
          <w:sz w:val="22"/>
          <w:szCs w:val="22"/>
          <w:lang w:val="en-AU"/>
        </w:rPr>
      </w:pPr>
      <w:r>
        <w:rPr>
          <w:sz w:val="22"/>
          <w:szCs w:val="22"/>
          <w:lang w:val="en-AU"/>
        </w:rPr>
        <w:t>the signal words ‘Pregnancy Warning’ and</w:t>
      </w:r>
    </w:p>
    <w:p w14:paraId="57EAD707" w14:textId="77777777" w:rsidR="00451C74" w:rsidRDefault="00451C74" w:rsidP="00FA3085">
      <w:pPr>
        <w:pStyle w:val="FootnoteText"/>
        <w:numPr>
          <w:ilvl w:val="0"/>
          <w:numId w:val="4"/>
        </w:numPr>
        <w:rPr>
          <w:sz w:val="22"/>
          <w:szCs w:val="22"/>
          <w:lang w:val="en-AU"/>
        </w:rPr>
      </w:pPr>
      <w:r>
        <w:rPr>
          <w:sz w:val="22"/>
          <w:szCs w:val="22"/>
          <w:lang w:val="en-AU"/>
        </w:rPr>
        <w:t>the statement ‘Alcohol can cause lifelong harm to your baby’,</w:t>
      </w:r>
    </w:p>
    <w:p w14:paraId="67480F17" w14:textId="77777777" w:rsidR="00451C74" w:rsidRDefault="00451C74" w:rsidP="00451C74">
      <w:pPr>
        <w:pStyle w:val="FootnoteText"/>
        <w:ind w:left="930"/>
        <w:rPr>
          <w:sz w:val="22"/>
          <w:szCs w:val="22"/>
          <w:lang w:val="en-AU"/>
        </w:rPr>
      </w:pPr>
    </w:p>
    <w:p w14:paraId="5277E69B" w14:textId="77777777" w:rsidR="00451C74" w:rsidRPr="00580FFB" w:rsidRDefault="00451C74" w:rsidP="00451C74">
      <w:pPr>
        <w:pStyle w:val="FootnoteText"/>
        <w:ind w:left="930"/>
        <w:rPr>
          <w:sz w:val="22"/>
          <w:szCs w:val="22"/>
          <w:lang w:val="en-AU"/>
        </w:rPr>
      </w:pPr>
      <w:r>
        <w:rPr>
          <w:sz w:val="22"/>
          <w:szCs w:val="22"/>
          <w:lang w:val="en-AU"/>
        </w:rPr>
        <w:t>all within a border.</w:t>
      </w:r>
    </w:p>
    <w:p w14:paraId="5CD6AECF" w14:textId="77777777" w:rsidR="00451C74" w:rsidRDefault="00451C74" w:rsidP="00451C74">
      <w:pPr>
        <w:rPr>
          <w:lang w:val="en-AU"/>
        </w:rPr>
      </w:pPr>
    </w:p>
    <w:p w14:paraId="32FD279F" w14:textId="77777777" w:rsidR="00451C74" w:rsidRDefault="00451C74" w:rsidP="00451C74">
      <w:pPr>
        <w:jc w:val="center"/>
      </w:pPr>
      <w:r>
        <w:rPr>
          <w:noProof/>
          <w:lang w:eastAsia="en-GB" w:bidi="ar-SA"/>
        </w:rPr>
        <w:drawing>
          <wp:inline distT="0" distB="0" distL="0" distR="0" wp14:anchorId="34E5D23C" wp14:editId="6FBF089B">
            <wp:extent cx="2019650" cy="466725"/>
            <wp:effectExtent l="0" t="0" r="0" b="0"/>
            <wp:docPr id="11" name="Picture 11" descr="https://www.foodstandards.gov.au/industry/labelling/Documents/pregnancy-warning-label-type-2-cmyk-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odstandards.gov.au/industry/labelling/Documents/pregnancy-warning-label-type-2-cmyk-hi-res.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61166" cy="476319"/>
                    </a:xfrm>
                    <a:prstGeom prst="rect">
                      <a:avLst/>
                    </a:prstGeom>
                    <a:noFill/>
                    <a:ln>
                      <a:noFill/>
                    </a:ln>
                  </pic:spPr>
                </pic:pic>
              </a:graphicData>
            </a:graphic>
          </wp:inline>
        </w:drawing>
      </w:r>
    </w:p>
    <w:p w14:paraId="18815716" w14:textId="77777777" w:rsidR="00451C74" w:rsidRDefault="00451C74" w:rsidP="00451C74"/>
    <w:p w14:paraId="78608227" w14:textId="56EB91B8" w:rsidR="00451C74" w:rsidRDefault="00451C74" w:rsidP="00451C74">
      <w:r>
        <w:rPr>
          <w:b/>
          <w:bCs/>
          <w:i/>
          <w:iCs/>
        </w:rPr>
        <w:tab/>
      </w:r>
      <w:r w:rsidRPr="009A0492">
        <w:rPr>
          <w:b/>
          <w:bCs/>
          <w:i/>
          <w:iCs/>
        </w:rPr>
        <w:t>Individual unit</w:t>
      </w:r>
      <w:r>
        <w:t xml:space="preserve"> means a container that:</w:t>
      </w:r>
    </w:p>
    <w:p w14:paraId="296E0D94" w14:textId="3BDFEA73" w:rsidR="00451C74" w:rsidRDefault="00451C74" w:rsidP="00FA3085">
      <w:pPr>
        <w:pStyle w:val="ListParagraph"/>
        <w:numPr>
          <w:ilvl w:val="0"/>
          <w:numId w:val="7"/>
        </w:numPr>
      </w:pPr>
      <w:r>
        <w:t>is an innermost package; and</w:t>
      </w:r>
    </w:p>
    <w:p w14:paraId="7E0BA088" w14:textId="77777777" w:rsidR="00451C74" w:rsidRDefault="00451C74" w:rsidP="00FA3085">
      <w:pPr>
        <w:pStyle w:val="ListParagraph"/>
        <w:numPr>
          <w:ilvl w:val="0"/>
          <w:numId w:val="7"/>
        </w:numPr>
      </w:pPr>
      <w:r>
        <w:t>contains a beverage with more than 1.15% alcohol by volume.</w:t>
      </w:r>
    </w:p>
    <w:p w14:paraId="2FAA7C9D" w14:textId="77777777" w:rsidR="00451C74" w:rsidRPr="00451C74" w:rsidRDefault="00451C74" w:rsidP="00451C74"/>
    <w:p w14:paraId="6DF9E185" w14:textId="77777777" w:rsidR="00451C74" w:rsidRDefault="00451C74" w:rsidP="00451C74">
      <w:r>
        <w:t>Section 2.7.1—8 generally provides that a prescribed alcoholic beverage that has more than one layer of packaging must display a *pregnancy warning label on its outer package.</w:t>
      </w:r>
    </w:p>
    <w:p w14:paraId="264D9125" w14:textId="77777777" w:rsidR="00451C74" w:rsidRDefault="00451C74" w:rsidP="00451C74"/>
    <w:p w14:paraId="3B015E3B" w14:textId="713346AA" w:rsidR="00451C74" w:rsidRDefault="00451C74" w:rsidP="00451C74">
      <w:r>
        <w:t xml:space="preserve">Section 2.7.1—10 sets out that a prescribed alcoholic beverage containing more than one individual unit (as defined above) must display </w:t>
      </w:r>
      <w:r w:rsidR="00E75CBC">
        <w:t>a</w:t>
      </w:r>
      <w:r>
        <w:t xml:space="preserve"> pregnancy warning mark on its outer package and the size requirements for that label. The required size of the pregnancy warning mark is as follows:</w:t>
      </w:r>
    </w:p>
    <w:p w14:paraId="25577354" w14:textId="38541260" w:rsidR="00451C74" w:rsidRDefault="00451C74" w:rsidP="00451C74"/>
    <w:p w14:paraId="26F0248D" w14:textId="7B743171" w:rsidR="00451C74" w:rsidRDefault="00451C74" w:rsidP="00FA3085">
      <w:pPr>
        <w:pStyle w:val="ListParagraph"/>
        <w:numPr>
          <w:ilvl w:val="0"/>
          <w:numId w:val="14"/>
        </w:numPr>
        <w:ind w:left="567" w:hanging="567"/>
      </w:pPr>
      <w:r>
        <w:t>size of the pictogram: at least 11 mm in diameter</w:t>
      </w:r>
    </w:p>
    <w:p w14:paraId="65B6F030" w14:textId="68FD1543" w:rsidR="00451C74" w:rsidRDefault="00451C74" w:rsidP="00FA3085">
      <w:pPr>
        <w:pStyle w:val="ListParagraph"/>
        <w:numPr>
          <w:ilvl w:val="0"/>
          <w:numId w:val="14"/>
        </w:numPr>
        <w:ind w:left="567" w:hanging="567"/>
      </w:pPr>
      <w:r>
        <w:t xml:space="preserve">size of type of the signal words </w:t>
      </w:r>
      <w:r w:rsidRPr="00451C74">
        <w:rPr>
          <w:rFonts w:cs="Arial"/>
        </w:rPr>
        <w:t>‘</w:t>
      </w:r>
      <w:r>
        <w:t>PREGNANCY WARNING</w:t>
      </w:r>
      <w:r w:rsidRPr="00451C74">
        <w:rPr>
          <w:rFonts w:cs="Arial"/>
        </w:rPr>
        <w:t>’</w:t>
      </w:r>
      <w:r>
        <w:t>: at least 3.5 mm</w:t>
      </w:r>
    </w:p>
    <w:p w14:paraId="36295FC4" w14:textId="496FB682" w:rsidR="00451C74" w:rsidRDefault="00451C74" w:rsidP="00FA3085">
      <w:pPr>
        <w:pStyle w:val="ListParagraph"/>
        <w:numPr>
          <w:ilvl w:val="0"/>
          <w:numId w:val="14"/>
        </w:numPr>
        <w:ind w:left="567" w:hanging="567"/>
      </w:pPr>
      <w:r>
        <w:t xml:space="preserve">size of type of the statement </w:t>
      </w:r>
      <w:r w:rsidRPr="00451C74">
        <w:rPr>
          <w:rFonts w:cs="Arial"/>
        </w:rPr>
        <w:t>‘</w:t>
      </w:r>
      <w:r>
        <w:t>Alcohol can cause lifelong harm to your baby</w:t>
      </w:r>
      <w:r w:rsidRPr="00451C74">
        <w:rPr>
          <w:rFonts w:cs="Arial"/>
        </w:rPr>
        <w:t>’</w:t>
      </w:r>
      <w:r>
        <w:t>: at least 2.7 mm.</w:t>
      </w:r>
    </w:p>
    <w:p w14:paraId="6C4BC57B" w14:textId="77777777" w:rsidR="00451C74" w:rsidRDefault="00451C74" w:rsidP="00451C74"/>
    <w:p w14:paraId="31E3F360" w14:textId="77777777" w:rsidR="00451C74" w:rsidRDefault="00451C74" w:rsidP="00451C74">
      <w:r>
        <w:t>Section 2.7.1—12 sets out the required form for the pregnancy warning mark. The section requires the use of three colours (red, white and black) as follows:</w:t>
      </w:r>
    </w:p>
    <w:p w14:paraId="10FC6EBD" w14:textId="572AED04" w:rsidR="00451C74" w:rsidRDefault="00451C74" w:rsidP="00451C74"/>
    <w:p w14:paraId="3F30F95D" w14:textId="36D02FF8" w:rsidR="00451C74" w:rsidRPr="00E75CBC" w:rsidRDefault="00451C74" w:rsidP="00FA3085">
      <w:pPr>
        <w:pStyle w:val="ListParagraph"/>
        <w:numPr>
          <w:ilvl w:val="0"/>
          <w:numId w:val="15"/>
        </w:numPr>
        <w:ind w:left="567" w:hanging="567"/>
      </w:pPr>
      <w:r>
        <w:t>The background of the pregnancy warning mark must be in the colour white.</w:t>
      </w:r>
      <w:r w:rsidRPr="00E75CBC">
        <w:rPr>
          <w:rFonts w:cs="Arial"/>
        </w:rPr>
        <w:t> </w:t>
      </w:r>
    </w:p>
    <w:p w14:paraId="0A8BE0C4" w14:textId="77777777" w:rsidR="00E75CBC" w:rsidRDefault="00451C74" w:rsidP="00FA3085">
      <w:pPr>
        <w:pStyle w:val="ListParagraph"/>
        <w:numPr>
          <w:ilvl w:val="0"/>
          <w:numId w:val="15"/>
        </w:numPr>
        <w:ind w:left="567" w:hanging="567"/>
      </w:pPr>
      <w:r>
        <w:t>The circle and strikethrough of the pictogram must be in the colour red. </w:t>
      </w:r>
    </w:p>
    <w:p w14:paraId="0442F500" w14:textId="77777777" w:rsidR="00E75CBC" w:rsidRPr="00E75CBC" w:rsidRDefault="00451C74" w:rsidP="00FA3085">
      <w:pPr>
        <w:pStyle w:val="ListParagraph"/>
        <w:numPr>
          <w:ilvl w:val="0"/>
          <w:numId w:val="15"/>
        </w:numPr>
        <w:ind w:left="567" w:hanging="567"/>
      </w:pPr>
      <w:r>
        <w:t>The silhouette of a pregnant woman of the pictogram must be in the colour black.</w:t>
      </w:r>
      <w:r w:rsidRPr="00E75CBC">
        <w:rPr>
          <w:rFonts w:cs="Arial"/>
        </w:rPr>
        <w:t> </w:t>
      </w:r>
    </w:p>
    <w:p w14:paraId="68E216B7" w14:textId="77777777" w:rsidR="00E75CBC" w:rsidRPr="00E75CBC" w:rsidRDefault="00451C74" w:rsidP="00FA3085">
      <w:pPr>
        <w:pStyle w:val="ListParagraph"/>
        <w:numPr>
          <w:ilvl w:val="0"/>
          <w:numId w:val="15"/>
        </w:numPr>
        <w:ind w:left="567" w:hanging="567"/>
      </w:pPr>
      <w:r>
        <w:t xml:space="preserve">The signal words </w:t>
      </w:r>
      <w:r w:rsidRPr="00E75CBC">
        <w:rPr>
          <w:rFonts w:cs="Arial"/>
        </w:rPr>
        <w:t>‘</w:t>
      </w:r>
      <w:r>
        <w:t>PREGNANCY WARNING</w:t>
      </w:r>
      <w:r w:rsidRPr="00E75CBC">
        <w:rPr>
          <w:rFonts w:cs="Arial"/>
        </w:rPr>
        <w:t>’</w:t>
      </w:r>
      <w:r>
        <w:t xml:space="preserve"> must be in the colour red.</w:t>
      </w:r>
      <w:r w:rsidRPr="00E75CBC">
        <w:rPr>
          <w:rFonts w:cs="Arial"/>
        </w:rPr>
        <w:t> </w:t>
      </w:r>
    </w:p>
    <w:p w14:paraId="2D9E0A3C" w14:textId="77777777" w:rsidR="00E75CBC" w:rsidRDefault="00451C74" w:rsidP="00FA3085">
      <w:pPr>
        <w:pStyle w:val="ListParagraph"/>
        <w:numPr>
          <w:ilvl w:val="0"/>
          <w:numId w:val="15"/>
        </w:numPr>
        <w:ind w:left="567" w:hanging="567"/>
      </w:pPr>
      <w:r>
        <w:t xml:space="preserve">The statement </w:t>
      </w:r>
      <w:r w:rsidRPr="00E75CBC">
        <w:rPr>
          <w:rFonts w:cs="Arial"/>
        </w:rPr>
        <w:t>‘</w:t>
      </w:r>
      <w:r>
        <w:t>Alcohol can cause lifelong harm to your baby’ must be in the colour black. </w:t>
      </w:r>
    </w:p>
    <w:p w14:paraId="3B45A1B1" w14:textId="5301F4C3" w:rsidR="00451C74" w:rsidRDefault="00451C74" w:rsidP="00FA3085">
      <w:pPr>
        <w:pStyle w:val="ListParagraph"/>
        <w:numPr>
          <w:ilvl w:val="0"/>
          <w:numId w:val="15"/>
        </w:numPr>
        <w:ind w:left="567" w:hanging="567"/>
      </w:pPr>
      <w:r>
        <w:t xml:space="preserve">The border of the </w:t>
      </w:r>
      <w:r w:rsidR="005E4237">
        <w:t xml:space="preserve">pregnancy warning </w:t>
      </w:r>
      <w:r w:rsidR="00E92F08">
        <w:t xml:space="preserve">mark </w:t>
      </w:r>
      <w:r>
        <w:t>must be</w:t>
      </w:r>
      <w:r w:rsidRPr="00E75CBC">
        <w:rPr>
          <w:rFonts w:cs="Arial"/>
        </w:rPr>
        <w:t> </w:t>
      </w:r>
      <w:r>
        <w:t>in the colour black. </w:t>
      </w:r>
    </w:p>
    <w:p w14:paraId="6E76CAE0" w14:textId="77777777" w:rsidR="00451C74" w:rsidRDefault="00451C74" w:rsidP="00E615C3"/>
    <w:p w14:paraId="28153EC8" w14:textId="556D7DCA" w:rsidR="00451C74" w:rsidRDefault="00E75CBC" w:rsidP="00E615C3">
      <w:r w:rsidRPr="00E75CBC">
        <w:t>Section 2.7.1—12 also sets out other requirements, including bolding of the signal words, typeface, the use of capital letters (signal words) and sentence case (statement) and the clear space outside the border of the pregnancy warning mark.</w:t>
      </w:r>
    </w:p>
    <w:p w14:paraId="39688A32" w14:textId="54BE3823" w:rsidR="00451C74" w:rsidRDefault="00451C74" w:rsidP="00E615C3"/>
    <w:p w14:paraId="207C683D" w14:textId="6D52DEF4" w:rsidR="00E75CBC" w:rsidRDefault="00E75CBC" w:rsidP="00E615C3">
      <w:r w:rsidRPr="00E75CBC">
        <w:t xml:space="preserve">The above requirements operate subject to transitional arrangements put in place by </w:t>
      </w:r>
      <w:r>
        <w:t xml:space="preserve">Proposal </w:t>
      </w:r>
      <w:r w:rsidRPr="00E75CBC">
        <w:t>P1050. These are as follows</w:t>
      </w:r>
      <w:r>
        <w:t>:</w:t>
      </w:r>
    </w:p>
    <w:p w14:paraId="1F4030C7" w14:textId="7C9BF8C3" w:rsidR="00E75CBC" w:rsidRDefault="00E75CBC" w:rsidP="00E615C3"/>
    <w:p w14:paraId="3711591A" w14:textId="60830591" w:rsidR="00E75CBC" w:rsidRDefault="00E75CBC" w:rsidP="00FA3085">
      <w:pPr>
        <w:pStyle w:val="ListParagraph"/>
        <w:numPr>
          <w:ilvl w:val="0"/>
          <w:numId w:val="16"/>
        </w:numPr>
        <w:ind w:left="567" w:hanging="567"/>
      </w:pPr>
      <w:r>
        <w:t xml:space="preserve">From 31 July 2020 to </w:t>
      </w:r>
      <w:r w:rsidR="00F9786A">
        <w:t>31 July</w:t>
      </w:r>
      <w:r>
        <w:t xml:space="preserve"> 2023, an alcoholic beverage can comply with either the Code as in force as if the above requirements had not taken effect, or with the Code including the above-mentioned requirements.</w:t>
      </w:r>
    </w:p>
    <w:p w14:paraId="4205AAA8" w14:textId="58DBA0B9" w:rsidR="00E75CBC" w:rsidRDefault="00F9786A" w:rsidP="00FA3085">
      <w:pPr>
        <w:pStyle w:val="ListParagraph"/>
        <w:numPr>
          <w:ilvl w:val="0"/>
          <w:numId w:val="16"/>
        </w:numPr>
        <w:ind w:left="567" w:hanging="567"/>
      </w:pPr>
      <w:r>
        <w:t xml:space="preserve">From </w:t>
      </w:r>
      <w:r w:rsidR="00E75CBC">
        <w:t>1 August 2023, all alcoholic beverages will need to comply with the above requirements (i.e</w:t>
      </w:r>
      <w:r w:rsidR="000D6255">
        <w:t>.</w:t>
      </w:r>
      <w:r w:rsidR="00E75CBC">
        <w:t xml:space="preserve"> have the pregnancy warning label), except for those subject to the exemption below. </w:t>
      </w:r>
    </w:p>
    <w:p w14:paraId="0012214D" w14:textId="3BED6C71" w:rsidR="00E75CBC" w:rsidRDefault="00E75CBC" w:rsidP="00FA3085">
      <w:pPr>
        <w:pStyle w:val="ListParagraph"/>
        <w:numPr>
          <w:ilvl w:val="0"/>
          <w:numId w:val="16"/>
        </w:numPr>
        <w:ind w:left="567" w:hanging="567"/>
      </w:pPr>
      <w:r w:rsidRPr="00E75CBC">
        <w:t>An alcoholic beverage packaged and labelled before 1 August 2023 (i.e. compliant with either the Code as in force without the above requirements i.e. not carry the mandatory pregnancy warning label, or with the Code</w:t>
      </w:r>
      <w:r w:rsidR="004C1A2A">
        <w:t xml:space="preserve"> as in force with the above</w:t>
      </w:r>
      <w:r w:rsidRPr="00E75CBC">
        <w:t xml:space="preserve"> requirements i.e. carry the mandatory pregnancy warning label) will be deemed compliant with the Code if sold after 1 August 2023. This exemption also applies to imported alcoholic beverages.</w:t>
      </w:r>
    </w:p>
    <w:p w14:paraId="75AB9414" w14:textId="6A8B740A" w:rsidR="00AF387F" w:rsidRPr="000B6AF2" w:rsidRDefault="00F33BB8" w:rsidP="00D062E4">
      <w:pPr>
        <w:pStyle w:val="Heading2"/>
        <w:rPr>
          <w:u w:color="FFFF00"/>
        </w:rPr>
      </w:pPr>
      <w:bookmarkStart w:id="29" w:name="_Toc286391007"/>
      <w:bookmarkStart w:id="30" w:name="_Toc114057802"/>
      <w:bookmarkStart w:id="31" w:name="_Toc300933423"/>
      <w:bookmarkStart w:id="32" w:name="_Toc175381432"/>
      <w:r>
        <w:rPr>
          <w:u w:color="FFFF00"/>
        </w:rPr>
        <w:lastRenderedPageBreak/>
        <w:t>1</w:t>
      </w:r>
      <w:r w:rsidR="00606C88">
        <w:rPr>
          <w:u w:color="FFFF00"/>
        </w:rPr>
        <w:t>.4</w:t>
      </w:r>
      <w:r w:rsidR="001542D8">
        <w:rPr>
          <w:u w:color="FFFF00"/>
        </w:rPr>
        <w:tab/>
      </w:r>
      <w:r w:rsidR="00741EFE">
        <w:rPr>
          <w:u w:color="FFFF00"/>
        </w:rPr>
        <w:t xml:space="preserve">Reasons for </w:t>
      </w:r>
      <w:r w:rsidR="00741EFE" w:rsidRPr="00E716A9">
        <w:rPr>
          <w:u w:color="FFFF00"/>
        </w:rPr>
        <w:t>accepting A</w:t>
      </w:r>
      <w:r w:rsidR="00AF387F" w:rsidRPr="00E716A9">
        <w:rPr>
          <w:u w:color="FFFF00"/>
        </w:rPr>
        <w:t>pplication</w:t>
      </w:r>
      <w:bookmarkEnd w:id="29"/>
      <w:bookmarkEnd w:id="30"/>
      <w:r w:rsidR="00180C41" w:rsidRPr="00E716A9">
        <w:rPr>
          <w:u w:color="FFFF00"/>
        </w:rPr>
        <w:t xml:space="preserve"> </w:t>
      </w:r>
      <w:bookmarkEnd w:id="31"/>
    </w:p>
    <w:p w14:paraId="2E2F4422" w14:textId="77777777" w:rsidR="00E716A9" w:rsidRPr="00CC7A9D" w:rsidRDefault="00E716A9" w:rsidP="00E716A9">
      <w:bookmarkStart w:id="33" w:name="_Toc286391008"/>
      <w:bookmarkStart w:id="34" w:name="_Toc11735630"/>
      <w:bookmarkStart w:id="35" w:name="_Toc29883114"/>
      <w:bookmarkStart w:id="36" w:name="_Toc41906801"/>
      <w:bookmarkStart w:id="37" w:name="_Toc41907548"/>
      <w:bookmarkStart w:id="38" w:name="_Toc120358578"/>
      <w:bookmarkStart w:id="39" w:name="_Toc175381435"/>
      <w:bookmarkEnd w:id="3"/>
      <w:bookmarkEnd w:id="4"/>
      <w:bookmarkEnd w:id="5"/>
      <w:bookmarkEnd w:id="6"/>
      <w:bookmarkEnd w:id="7"/>
      <w:bookmarkEnd w:id="32"/>
      <w:r w:rsidRPr="00CC7A9D">
        <w:t xml:space="preserve">The </w:t>
      </w:r>
      <w:r>
        <w:t>application</w:t>
      </w:r>
      <w:r w:rsidRPr="00CC7A9D">
        <w:t xml:space="preserve"> was accepted for assessment because:</w:t>
      </w:r>
    </w:p>
    <w:p w14:paraId="66558931" w14:textId="77777777" w:rsidR="00E716A9" w:rsidRPr="00CC7A9D" w:rsidRDefault="00E716A9" w:rsidP="00E716A9"/>
    <w:p w14:paraId="7A7D0985" w14:textId="77777777" w:rsidR="00E716A9" w:rsidRPr="00CC7A9D" w:rsidRDefault="00E716A9" w:rsidP="00F1114F">
      <w:pPr>
        <w:pStyle w:val="FSBullet1"/>
        <w:ind w:left="567" w:hanging="567"/>
      </w:pPr>
      <w:r w:rsidRPr="00CC7A9D">
        <w:t>it complied with the procedural requirements under subsection 22(2)</w:t>
      </w:r>
      <w:r>
        <w:t xml:space="preserve"> of the </w:t>
      </w:r>
      <w:r w:rsidRPr="00364738">
        <w:rPr>
          <w:i/>
        </w:rPr>
        <w:t>Food Standards Australia New Zealand 1991</w:t>
      </w:r>
      <w:r>
        <w:t xml:space="preserve"> (the FSANZ Act)</w:t>
      </w:r>
    </w:p>
    <w:p w14:paraId="12492A8D" w14:textId="485567CE" w:rsidR="00DE79D9" w:rsidRPr="00442777" w:rsidRDefault="00E716A9" w:rsidP="00F1114F">
      <w:pPr>
        <w:pStyle w:val="FSBullet1"/>
        <w:ind w:left="567" w:hanging="567"/>
      </w:pPr>
      <w:r>
        <w:t xml:space="preserve">it related to a matter that warranted </w:t>
      </w:r>
      <w:r w:rsidRPr="000E1EA4">
        <w:t>the variation of a food regulatory measure</w:t>
      </w:r>
      <w:r>
        <w:t xml:space="preserve">. </w:t>
      </w:r>
    </w:p>
    <w:p w14:paraId="315DA2B3" w14:textId="77777777" w:rsidR="00DE79D9" w:rsidRDefault="00D3171B" w:rsidP="00DE79D9">
      <w:pPr>
        <w:pStyle w:val="Heading2"/>
      </w:pPr>
      <w:bookmarkStart w:id="40" w:name="_Toc114057803"/>
      <w:r>
        <w:t>1</w:t>
      </w:r>
      <w:r w:rsidR="00606C88">
        <w:t>.5</w:t>
      </w:r>
      <w:r w:rsidR="00DE79D9">
        <w:tab/>
        <w:t>Procedure for assessment</w:t>
      </w:r>
      <w:bookmarkEnd w:id="40"/>
    </w:p>
    <w:p w14:paraId="7524E42A" w14:textId="77777777" w:rsidR="00E716A9" w:rsidRPr="00CC7A9D" w:rsidRDefault="00E716A9" w:rsidP="00E716A9">
      <w:r w:rsidRPr="00CC7A9D">
        <w:t xml:space="preserve">The </w:t>
      </w:r>
      <w:r>
        <w:t>a</w:t>
      </w:r>
      <w:r w:rsidRPr="00CC7A9D">
        <w:t>pplication is being assessed under the General Procedure in the FSANZ Act.</w:t>
      </w:r>
    </w:p>
    <w:p w14:paraId="1D2C8519" w14:textId="77777777" w:rsidR="00DE79D9" w:rsidRPr="00D062E4" w:rsidRDefault="00DE79D9" w:rsidP="00180C41"/>
    <w:p w14:paraId="4FFADBD5" w14:textId="77777777" w:rsidR="00AF387F" w:rsidRPr="00180C41" w:rsidRDefault="00D3171B" w:rsidP="00180C41">
      <w:pPr>
        <w:pStyle w:val="Heading1"/>
      </w:pPr>
      <w:bookmarkStart w:id="41" w:name="_Toc300933424"/>
      <w:bookmarkStart w:id="42" w:name="_Toc114057804"/>
      <w:r>
        <w:t>2</w:t>
      </w:r>
      <w:r w:rsidR="001542D8">
        <w:tab/>
      </w:r>
      <w:r w:rsidR="00350DBD">
        <w:t>S</w:t>
      </w:r>
      <w:r w:rsidR="00FB1533">
        <w:t>ummary of the a</w:t>
      </w:r>
      <w:r w:rsidR="00FD2FBE">
        <w:t>ssessment</w:t>
      </w:r>
      <w:bookmarkEnd w:id="33"/>
      <w:bookmarkEnd w:id="41"/>
      <w:bookmarkEnd w:id="42"/>
    </w:p>
    <w:p w14:paraId="6FA8D7F5" w14:textId="7FD7F861" w:rsidR="00334704" w:rsidRDefault="00D3171B" w:rsidP="004646F8">
      <w:pPr>
        <w:pStyle w:val="Heading2"/>
      </w:pPr>
      <w:bookmarkStart w:id="43" w:name="_Toc114057805"/>
      <w:bookmarkStart w:id="44" w:name="_Toc286391009"/>
      <w:bookmarkStart w:id="45" w:name="_Toc300933425"/>
      <w:bookmarkStart w:id="46" w:name="_Toc120358583"/>
      <w:bookmarkStart w:id="47" w:name="_Toc175381440"/>
      <w:r>
        <w:t>2</w:t>
      </w:r>
      <w:r w:rsidR="00271F00">
        <w:t>.</w:t>
      </w:r>
      <w:r w:rsidR="00D43F01">
        <w:t>1</w:t>
      </w:r>
      <w:r w:rsidR="00271F00">
        <w:tab/>
      </w:r>
      <w:r w:rsidR="00334704">
        <w:t>Technical</w:t>
      </w:r>
      <w:r w:rsidR="00CE200B">
        <w:t xml:space="preserve"> printing</w:t>
      </w:r>
      <w:r w:rsidR="00334704">
        <w:t xml:space="preserve"> issues</w:t>
      </w:r>
      <w:bookmarkEnd w:id="43"/>
      <w:r w:rsidR="00334704">
        <w:t xml:space="preserve"> </w:t>
      </w:r>
    </w:p>
    <w:p w14:paraId="7FBF8592" w14:textId="306BB13B" w:rsidR="00163D47" w:rsidRDefault="00163D47" w:rsidP="00334704">
      <w:pPr>
        <w:tabs>
          <w:tab w:val="num" w:pos="567"/>
        </w:tabs>
      </w:pPr>
      <w:bookmarkStart w:id="48" w:name="_Hlk113603411"/>
      <w:r>
        <w:t xml:space="preserve">FSANZ has assessed the technical issues associated with </w:t>
      </w:r>
      <w:r w:rsidR="007461AF">
        <w:t>printing</w:t>
      </w:r>
      <w:r w:rsidR="007857F5">
        <w:t xml:space="preserve"> the pregnancy warning </w:t>
      </w:r>
      <w:r w:rsidR="1F11335E">
        <w:t xml:space="preserve">mark </w:t>
      </w:r>
      <w:r w:rsidR="007857F5">
        <w:t>on</w:t>
      </w:r>
      <w:r w:rsidR="001E7A1A">
        <w:t xml:space="preserve"> </w:t>
      </w:r>
      <w:r w:rsidR="001A217F">
        <w:t>CC</w:t>
      </w:r>
      <w:r w:rsidR="007857F5">
        <w:t xml:space="preserve"> using the post</w:t>
      </w:r>
      <w:r w:rsidR="0079004A">
        <w:t>-</w:t>
      </w:r>
      <w:r w:rsidR="007857F5">
        <w:t>print process</w:t>
      </w:r>
      <w:r w:rsidR="001E7A1A">
        <w:t xml:space="preserve">, based on information provided by the </w:t>
      </w:r>
      <w:r>
        <w:t>applicant and printers</w:t>
      </w:r>
      <w:r w:rsidR="00F93441">
        <w:t xml:space="preserve">. FSANZ had </w:t>
      </w:r>
      <w:r w:rsidR="0064418E">
        <w:t xml:space="preserve">detailed </w:t>
      </w:r>
      <w:r w:rsidR="00F93441">
        <w:t xml:space="preserve">discussions with two printing companies that have sites in both Australia and New Zealand, </w:t>
      </w:r>
      <w:r w:rsidR="0064418E">
        <w:t xml:space="preserve">and one Australian company. All companies contacted print on corrugated cardboard and have clients in the alcoholic beverage sector. </w:t>
      </w:r>
      <w:r w:rsidR="00F93441">
        <w:t xml:space="preserve"> </w:t>
      </w:r>
    </w:p>
    <w:bookmarkEnd w:id="48"/>
    <w:p w14:paraId="32E8A692" w14:textId="77777777" w:rsidR="00013E8F" w:rsidRDefault="00013E8F" w:rsidP="00334704">
      <w:pPr>
        <w:tabs>
          <w:tab w:val="num" w:pos="567"/>
        </w:tabs>
      </w:pPr>
    </w:p>
    <w:p w14:paraId="262491B1" w14:textId="3B2B40C6" w:rsidR="00013E8F" w:rsidRDefault="00A835F2" w:rsidP="00334704">
      <w:pPr>
        <w:tabs>
          <w:tab w:val="num" w:pos="567"/>
        </w:tabs>
        <w:rPr>
          <w:rFonts w:cs="Arial"/>
        </w:rPr>
      </w:pPr>
      <w:r>
        <w:t xml:space="preserve">As discussed in section 1.2, </w:t>
      </w:r>
      <w:r w:rsidR="00013E8F">
        <w:t xml:space="preserve">issues with </w:t>
      </w:r>
      <w:r>
        <w:t>m</w:t>
      </w:r>
      <w:r w:rsidR="00334704">
        <w:t xml:space="preserve">isalignment </w:t>
      </w:r>
      <w:r w:rsidR="00B51851">
        <w:t xml:space="preserve">of the </w:t>
      </w:r>
      <w:r w:rsidR="001E7A1A">
        <w:t xml:space="preserve">currently prescribed </w:t>
      </w:r>
      <w:r w:rsidR="00B51851">
        <w:t xml:space="preserve">pregnancy warning mark </w:t>
      </w:r>
      <w:r w:rsidR="00315469">
        <w:t xml:space="preserve">can </w:t>
      </w:r>
      <w:r w:rsidR="00013E8F">
        <w:t>arise</w:t>
      </w:r>
      <w:r w:rsidR="00334704">
        <w:t xml:space="preserve"> due to a </w:t>
      </w:r>
      <w:r w:rsidR="00273E77" w:rsidRPr="3A6E3176">
        <w:rPr>
          <w:rFonts w:cs="Arial"/>
        </w:rPr>
        <w:t xml:space="preserve">margin of error for print registration </w:t>
      </w:r>
      <w:r w:rsidR="00BC30A1" w:rsidRPr="3A6E3176">
        <w:rPr>
          <w:rFonts w:cs="Arial"/>
        </w:rPr>
        <w:t>when using</w:t>
      </w:r>
      <w:r w:rsidR="003A65A8" w:rsidRPr="3A6E3176">
        <w:rPr>
          <w:rFonts w:cs="Arial"/>
        </w:rPr>
        <w:t xml:space="preserve"> the </w:t>
      </w:r>
      <w:r w:rsidR="00273E77" w:rsidRPr="3A6E3176">
        <w:rPr>
          <w:rFonts w:cs="Arial"/>
        </w:rPr>
        <w:t>post</w:t>
      </w:r>
      <w:r w:rsidR="001D5459" w:rsidRPr="3A6E3176">
        <w:rPr>
          <w:rFonts w:cs="Arial"/>
        </w:rPr>
        <w:t>-</w:t>
      </w:r>
      <w:r w:rsidR="00273E77" w:rsidRPr="3A6E3176">
        <w:rPr>
          <w:rFonts w:cs="Arial"/>
        </w:rPr>
        <w:t>print</w:t>
      </w:r>
      <w:r w:rsidR="003A65A8" w:rsidRPr="3A6E3176">
        <w:rPr>
          <w:rFonts w:cs="Arial"/>
        </w:rPr>
        <w:t xml:space="preserve"> </w:t>
      </w:r>
      <w:r w:rsidR="00044416">
        <w:rPr>
          <w:rFonts w:cs="Arial"/>
        </w:rPr>
        <w:t xml:space="preserve"> </w:t>
      </w:r>
      <w:r w:rsidR="003A65A8" w:rsidRPr="3A6E3176">
        <w:rPr>
          <w:rFonts w:cs="Arial"/>
        </w:rPr>
        <w:t xml:space="preserve">process </w:t>
      </w:r>
      <w:r w:rsidR="004F3923" w:rsidRPr="3A6E3176">
        <w:rPr>
          <w:rFonts w:cs="Arial"/>
        </w:rPr>
        <w:t>on</w:t>
      </w:r>
      <w:r w:rsidR="00273E77" w:rsidRPr="3A6E3176">
        <w:rPr>
          <w:rFonts w:cs="Arial"/>
        </w:rPr>
        <w:t xml:space="preserve"> </w:t>
      </w:r>
      <w:r w:rsidR="003A65A8" w:rsidRPr="3A6E3176">
        <w:rPr>
          <w:rFonts w:cs="Arial"/>
        </w:rPr>
        <w:t>CC</w:t>
      </w:r>
      <w:r w:rsidR="00E054EB" w:rsidRPr="3A6E3176">
        <w:rPr>
          <w:rFonts w:cs="Arial"/>
        </w:rPr>
        <w:t>,</w:t>
      </w:r>
      <w:r w:rsidR="00013E8F" w:rsidRPr="3A6E3176">
        <w:rPr>
          <w:rFonts w:cs="Arial"/>
        </w:rPr>
        <w:t xml:space="preserve"> a</w:t>
      </w:r>
      <w:r w:rsidR="00273E77" w:rsidRPr="3A6E3176">
        <w:rPr>
          <w:rFonts w:cs="Arial"/>
        </w:rPr>
        <w:t>nd</w:t>
      </w:r>
      <w:r w:rsidR="00334704" w:rsidRPr="3A6E3176">
        <w:rPr>
          <w:rFonts w:cs="Arial"/>
        </w:rPr>
        <w:t xml:space="preserve"> movement of the board </w:t>
      </w:r>
      <w:r w:rsidR="00EE421A" w:rsidRPr="3A6E3176">
        <w:rPr>
          <w:rFonts w:cs="Arial"/>
        </w:rPr>
        <w:t>through the printer</w:t>
      </w:r>
      <w:r w:rsidR="0021281D" w:rsidRPr="3A6E3176">
        <w:rPr>
          <w:rFonts w:cs="Arial"/>
        </w:rPr>
        <w:t>.</w:t>
      </w:r>
      <w:r w:rsidR="00334704" w:rsidRPr="3A6E3176">
        <w:rPr>
          <w:rFonts w:cs="Arial"/>
        </w:rPr>
        <w:t xml:space="preserve"> </w:t>
      </w:r>
      <w:r w:rsidR="00013E8F" w:rsidRPr="3A6E3176">
        <w:rPr>
          <w:rFonts w:cs="Arial"/>
        </w:rPr>
        <w:t xml:space="preserve">According to information from the applicant and </w:t>
      </w:r>
      <w:r w:rsidR="00A85ECE" w:rsidRPr="3A6E3176">
        <w:rPr>
          <w:rFonts w:cs="Arial"/>
        </w:rPr>
        <w:t xml:space="preserve">some </w:t>
      </w:r>
      <w:r w:rsidR="00013E8F" w:rsidRPr="3A6E3176">
        <w:rPr>
          <w:rFonts w:cs="Arial"/>
        </w:rPr>
        <w:t>printers, the margin of err</w:t>
      </w:r>
      <w:r w:rsidR="00581E12" w:rsidRPr="3A6E3176">
        <w:rPr>
          <w:rFonts w:cs="Arial"/>
        </w:rPr>
        <w:t xml:space="preserve">or can range from +/- 2-3mm </w:t>
      </w:r>
      <w:r w:rsidR="00013E8F" w:rsidRPr="3A6E3176">
        <w:rPr>
          <w:rFonts w:cs="Arial"/>
        </w:rPr>
        <w:t xml:space="preserve">up to 5mm for some printing machines. </w:t>
      </w:r>
      <w:r w:rsidR="00581E12" w:rsidRPr="3A6E3176">
        <w:rPr>
          <w:rFonts w:cs="Arial"/>
        </w:rPr>
        <w:t xml:space="preserve">One printer also identified warping of the </w:t>
      </w:r>
      <w:r w:rsidR="005F68D3" w:rsidRPr="3A6E3176">
        <w:rPr>
          <w:rFonts w:cs="Arial"/>
        </w:rPr>
        <w:t>CC</w:t>
      </w:r>
      <w:r w:rsidR="00581E12" w:rsidRPr="3A6E3176">
        <w:rPr>
          <w:rFonts w:cs="Arial"/>
        </w:rPr>
        <w:t xml:space="preserve"> (related to the mois</w:t>
      </w:r>
      <w:r w:rsidR="00273E77" w:rsidRPr="3A6E3176">
        <w:rPr>
          <w:rFonts w:cs="Arial"/>
        </w:rPr>
        <w:t xml:space="preserve">ture content in the </w:t>
      </w:r>
      <w:r w:rsidR="005F68D3" w:rsidRPr="3A6E3176">
        <w:rPr>
          <w:rFonts w:cs="Arial"/>
        </w:rPr>
        <w:t>CC</w:t>
      </w:r>
      <w:r w:rsidR="00273E77" w:rsidRPr="3A6E3176">
        <w:rPr>
          <w:rFonts w:cs="Arial"/>
        </w:rPr>
        <w:t xml:space="preserve">) as the </w:t>
      </w:r>
      <w:r w:rsidR="00581E12" w:rsidRPr="3A6E3176">
        <w:rPr>
          <w:rFonts w:cs="Arial"/>
        </w:rPr>
        <w:t xml:space="preserve">main reason for misalignment, in addition to </w:t>
      </w:r>
      <w:r w:rsidR="00036A60" w:rsidRPr="3A6E3176">
        <w:rPr>
          <w:rFonts w:cs="Arial"/>
        </w:rPr>
        <w:t xml:space="preserve">the print </w:t>
      </w:r>
      <w:r w:rsidR="00581E12" w:rsidRPr="3A6E3176">
        <w:rPr>
          <w:rFonts w:cs="Arial"/>
        </w:rPr>
        <w:t xml:space="preserve">registration </w:t>
      </w:r>
      <w:r w:rsidR="001833D9" w:rsidRPr="3A6E3176">
        <w:rPr>
          <w:rFonts w:cs="Arial"/>
        </w:rPr>
        <w:t xml:space="preserve">margin of </w:t>
      </w:r>
      <w:r w:rsidR="00581E12" w:rsidRPr="3A6E3176">
        <w:rPr>
          <w:rFonts w:cs="Arial"/>
        </w:rPr>
        <w:t>error.</w:t>
      </w:r>
    </w:p>
    <w:p w14:paraId="5E7AC6C9" w14:textId="09EE2F65" w:rsidR="00013E8F" w:rsidRDefault="00013E8F" w:rsidP="00334704">
      <w:pPr>
        <w:tabs>
          <w:tab w:val="num" w:pos="567"/>
        </w:tabs>
        <w:rPr>
          <w:rFonts w:cs="Arial"/>
        </w:rPr>
      </w:pPr>
    </w:p>
    <w:p w14:paraId="247B86CB" w14:textId="7A4388E2" w:rsidR="00FB6277" w:rsidRDefault="00273E77" w:rsidP="00FB6277">
      <w:pPr>
        <w:tabs>
          <w:tab w:val="num" w:pos="567"/>
        </w:tabs>
        <w:rPr>
          <w:rFonts w:cs="Arial"/>
        </w:rPr>
      </w:pPr>
      <w:r w:rsidRPr="3A6E3176">
        <w:rPr>
          <w:rFonts w:cs="Arial"/>
        </w:rPr>
        <w:t xml:space="preserve">The misalignment </w:t>
      </w:r>
      <w:r w:rsidR="00FB6277" w:rsidRPr="3A6E3176">
        <w:rPr>
          <w:rFonts w:cs="Arial"/>
        </w:rPr>
        <w:t>is</w:t>
      </w:r>
      <w:r w:rsidRPr="3A6E3176">
        <w:rPr>
          <w:rFonts w:cs="Arial"/>
        </w:rPr>
        <w:t xml:space="preserve"> </w:t>
      </w:r>
      <w:r w:rsidR="00FB6277" w:rsidRPr="3A6E3176">
        <w:rPr>
          <w:rFonts w:cs="Arial"/>
        </w:rPr>
        <w:t>a key issue f</w:t>
      </w:r>
      <w:r w:rsidRPr="3A6E3176">
        <w:rPr>
          <w:rFonts w:cs="Arial"/>
        </w:rPr>
        <w:t>or the post</w:t>
      </w:r>
      <w:r w:rsidR="001833D9" w:rsidRPr="3A6E3176">
        <w:rPr>
          <w:rFonts w:cs="Arial"/>
        </w:rPr>
        <w:t>-</w:t>
      </w:r>
      <w:r w:rsidRPr="3A6E3176">
        <w:rPr>
          <w:rFonts w:cs="Arial"/>
        </w:rPr>
        <w:t xml:space="preserve">print </w:t>
      </w:r>
      <w:r w:rsidR="00FB6277" w:rsidRPr="3A6E3176">
        <w:rPr>
          <w:rFonts w:cs="Arial"/>
        </w:rPr>
        <w:t xml:space="preserve">printing </w:t>
      </w:r>
      <w:r w:rsidRPr="3A6E3176">
        <w:rPr>
          <w:rFonts w:cs="Arial"/>
        </w:rPr>
        <w:t>process</w:t>
      </w:r>
      <w:r w:rsidR="0021281D" w:rsidRPr="3A6E3176">
        <w:rPr>
          <w:rFonts w:cs="Arial"/>
        </w:rPr>
        <w:t xml:space="preserve"> where</w:t>
      </w:r>
      <w:r w:rsidR="00FB6277" w:rsidRPr="3A6E3176">
        <w:rPr>
          <w:rFonts w:cs="Arial"/>
        </w:rPr>
        <w:t xml:space="preserve"> the colour is prin</w:t>
      </w:r>
      <w:r w:rsidRPr="3A6E3176">
        <w:rPr>
          <w:rFonts w:cs="Arial"/>
        </w:rPr>
        <w:t xml:space="preserve">ted directly onto the </w:t>
      </w:r>
      <w:r w:rsidR="005F68D3" w:rsidRPr="3A6E3176">
        <w:rPr>
          <w:rFonts w:cs="Arial"/>
        </w:rPr>
        <w:t>CC</w:t>
      </w:r>
      <w:r w:rsidRPr="3A6E3176">
        <w:rPr>
          <w:rFonts w:cs="Arial"/>
        </w:rPr>
        <w:t xml:space="preserve">. </w:t>
      </w:r>
      <w:r w:rsidR="00FB6277" w:rsidRPr="3A6E3176">
        <w:rPr>
          <w:rFonts w:cs="Arial"/>
        </w:rPr>
        <w:t xml:space="preserve">The </w:t>
      </w:r>
      <w:r w:rsidR="003F6D37" w:rsidRPr="3A6E3176">
        <w:rPr>
          <w:rFonts w:cs="Arial"/>
        </w:rPr>
        <w:t>outside liner</w:t>
      </w:r>
      <w:r w:rsidR="006067DD" w:rsidRPr="3A6E3176">
        <w:rPr>
          <w:rFonts w:cs="Arial"/>
        </w:rPr>
        <w:t xml:space="preserve"> of the </w:t>
      </w:r>
      <w:r w:rsidR="00FB6277" w:rsidRPr="3A6E3176">
        <w:rPr>
          <w:rFonts w:cs="Arial"/>
        </w:rPr>
        <w:t xml:space="preserve">board </w:t>
      </w:r>
      <w:r w:rsidR="006067DD" w:rsidRPr="3A6E3176">
        <w:rPr>
          <w:rFonts w:cs="Arial"/>
        </w:rPr>
        <w:t xml:space="preserve">(noting </w:t>
      </w:r>
      <w:r w:rsidR="00425ABA" w:rsidRPr="3A6E3176">
        <w:rPr>
          <w:rFonts w:cs="Arial"/>
        </w:rPr>
        <w:t>CC</w:t>
      </w:r>
      <w:r w:rsidR="006067DD" w:rsidRPr="3A6E3176">
        <w:rPr>
          <w:rFonts w:cs="Arial"/>
        </w:rPr>
        <w:t xml:space="preserve"> is made up of </w:t>
      </w:r>
      <w:r w:rsidR="000979DE" w:rsidRPr="3A6E3176">
        <w:rPr>
          <w:rFonts w:cs="Arial"/>
        </w:rPr>
        <w:t xml:space="preserve">at least </w:t>
      </w:r>
      <w:r w:rsidR="006067DD" w:rsidRPr="3A6E3176">
        <w:rPr>
          <w:rFonts w:cs="Arial"/>
        </w:rPr>
        <w:t xml:space="preserve">three layers) </w:t>
      </w:r>
      <w:r w:rsidR="00FB6277" w:rsidRPr="3A6E3176">
        <w:rPr>
          <w:rFonts w:cs="Arial"/>
        </w:rPr>
        <w:t>can be a</w:t>
      </w:r>
      <w:r w:rsidR="00DF6E6E" w:rsidRPr="3A6E3176">
        <w:rPr>
          <w:rFonts w:cs="Arial"/>
        </w:rPr>
        <w:t xml:space="preserve"> brown</w:t>
      </w:r>
      <w:r w:rsidR="00FB6277" w:rsidRPr="3A6E3176">
        <w:rPr>
          <w:rFonts w:cs="Arial"/>
        </w:rPr>
        <w:t xml:space="preserve"> </w:t>
      </w:r>
      <w:r w:rsidR="00EE67F5" w:rsidRPr="3A6E3176">
        <w:rPr>
          <w:rFonts w:cs="Arial"/>
        </w:rPr>
        <w:t>colour (referred to as ‘kraft board’),</w:t>
      </w:r>
      <w:r w:rsidR="00AC3210" w:rsidRPr="3A6E3176">
        <w:rPr>
          <w:rFonts w:cs="Arial"/>
        </w:rPr>
        <w:t xml:space="preserve"> brown or grey (referred to as ‘recycled’)</w:t>
      </w:r>
      <w:r w:rsidR="00EE67F5" w:rsidRPr="3A6E3176">
        <w:rPr>
          <w:rFonts w:cs="Arial"/>
        </w:rPr>
        <w:t xml:space="preserve"> </w:t>
      </w:r>
      <w:r w:rsidR="00FB6277" w:rsidRPr="3A6E3176">
        <w:rPr>
          <w:rFonts w:cs="Arial"/>
        </w:rPr>
        <w:t xml:space="preserve">or </w:t>
      </w:r>
      <w:r w:rsidR="00D70557" w:rsidRPr="3A6E3176">
        <w:rPr>
          <w:rFonts w:cs="Arial"/>
        </w:rPr>
        <w:t>white</w:t>
      </w:r>
      <w:r w:rsidR="00FB6277" w:rsidRPr="3A6E3176">
        <w:rPr>
          <w:rFonts w:cs="Arial"/>
        </w:rPr>
        <w:t xml:space="preserve">. The current prescribed colours for the pregnancy warning mark requires the layering of three colours on the </w:t>
      </w:r>
      <w:r w:rsidR="007C05E9" w:rsidRPr="3A6E3176">
        <w:rPr>
          <w:rFonts w:cs="Arial"/>
        </w:rPr>
        <w:t>CC</w:t>
      </w:r>
      <w:r w:rsidR="00A62BE9" w:rsidRPr="3A6E3176">
        <w:rPr>
          <w:rFonts w:cs="Arial"/>
        </w:rPr>
        <w:t xml:space="preserve">, or two if </w:t>
      </w:r>
      <w:r w:rsidR="00EE67F5" w:rsidRPr="3A6E3176">
        <w:rPr>
          <w:rFonts w:cs="Arial"/>
        </w:rPr>
        <w:t xml:space="preserve">a </w:t>
      </w:r>
      <w:r w:rsidR="00A62BE9" w:rsidRPr="3A6E3176">
        <w:rPr>
          <w:rFonts w:cs="Arial"/>
        </w:rPr>
        <w:t xml:space="preserve">white </w:t>
      </w:r>
      <w:r w:rsidR="00143DFE" w:rsidRPr="3A6E3176">
        <w:rPr>
          <w:rFonts w:cs="Arial"/>
        </w:rPr>
        <w:t xml:space="preserve">outside liner </w:t>
      </w:r>
      <w:r w:rsidR="00A62BE9" w:rsidRPr="3A6E3176">
        <w:rPr>
          <w:rFonts w:cs="Arial"/>
        </w:rPr>
        <w:t xml:space="preserve">is used (as this achieves the prescribed white background). Therefore, the margin of error for each colour pass (around +/- 2 – 5mm) can lead to a net registration shift of up to 6mm as demonstrated in the </w:t>
      </w:r>
      <w:r w:rsidR="009A3B72" w:rsidRPr="3A6E3176">
        <w:rPr>
          <w:rFonts w:cs="Arial"/>
        </w:rPr>
        <w:t>example in</w:t>
      </w:r>
      <w:r w:rsidR="00A62BE9" w:rsidRPr="3A6E3176">
        <w:rPr>
          <w:rFonts w:cs="Arial"/>
        </w:rPr>
        <w:t xml:space="preserve"> </w:t>
      </w:r>
      <w:r w:rsidR="008F49F2" w:rsidRPr="3A6E3176">
        <w:rPr>
          <w:rFonts w:cs="Arial"/>
        </w:rPr>
        <w:t>Figure</w:t>
      </w:r>
      <w:r w:rsidR="00A62BE9" w:rsidRPr="3A6E3176">
        <w:rPr>
          <w:rFonts w:cs="Arial"/>
        </w:rPr>
        <w:t xml:space="preserve"> </w:t>
      </w:r>
      <w:r w:rsidR="008F49F2" w:rsidRPr="3A6E3176">
        <w:rPr>
          <w:rFonts w:cs="Arial"/>
        </w:rPr>
        <w:t>2</w:t>
      </w:r>
      <w:r w:rsidR="00A62BE9" w:rsidRPr="3A6E3176">
        <w:rPr>
          <w:rFonts w:cs="Arial"/>
        </w:rPr>
        <w:t xml:space="preserve"> below.</w:t>
      </w:r>
    </w:p>
    <w:p w14:paraId="1113FD42" w14:textId="77777777" w:rsidR="00A673B3" w:rsidRDefault="00A673B3" w:rsidP="004857BA">
      <w:pPr>
        <w:tabs>
          <w:tab w:val="num" w:pos="567"/>
        </w:tabs>
        <w:rPr>
          <w:rFonts w:cs="Arial"/>
        </w:rPr>
      </w:pPr>
    </w:p>
    <w:p w14:paraId="2E73039C" w14:textId="129FA1EF" w:rsidR="00A62BE9" w:rsidRDefault="00D35471" w:rsidP="00D35471">
      <w:pPr>
        <w:tabs>
          <w:tab w:val="num" w:pos="567"/>
        </w:tabs>
        <w:jc w:val="center"/>
        <w:rPr>
          <w:rFonts w:cs="Arial"/>
        </w:rPr>
      </w:pPr>
      <w:r w:rsidRPr="00D35471">
        <w:rPr>
          <w:rFonts w:cs="Arial"/>
          <w:noProof/>
          <w:highlight w:val="yellow"/>
          <w:lang w:eastAsia="en-GB" w:bidi="ar-SA"/>
        </w:rPr>
        <w:drawing>
          <wp:inline distT="0" distB="0" distL="0" distR="0" wp14:anchorId="7B3745EF" wp14:editId="3101E20D">
            <wp:extent cx="2990850" cy="130087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04835" cy="1306954"/>
                    </a:xfrm>
                    <a:prstGeom prst="rect">
                      <a:avLst/>
                    </a:prstGeom>
                    <a:noFill/>
                    <a:ln>
                      <a:noFill/>
                    </a:ln>
                  </pic:spPr>
                </pic:pic>
              </a:graphicData>
            </a:graphic>
          </wp:inline>
        </w:drawing>
      </w:r>
    </w:p>
    <w:p w14:paraId="3230435A" w14:textId="77777777" w:rsidR="00A673B3" w:rsidRDefault="00A673B3" w:rsidP="00D35471">
      <w:pPr>
        <w:tabs>
          <w:tab w:val="num" w:pos="567"/>
        </w:tabs>
        <w:jc w:val="center"/>
        <w:rPr>
          <w:rFonts w:cs="Arial"/>
        </w:rPr>
      </w:pPr>
    </w:p>
    <w:p w14:paraId="4EB3CA92" w14:textId="2B1B268C" w:rsidR="00A673B3" w:rsidRDefault="003C5092" w:rsidP="00D35471">
      <w:pPr>
        <w:tabs>
          <w:tab w:val="num" w:pos="567"/>
        </w:tabs>
        <w:jc w:val="center"/>
        <w:rPr>
          <w:rFonts w:cs="Arial"/>
        </w:rPr>
      </w:pPr>
      <w:r>
        <w:rPr>
          <w:rFonts w:cs="Arial"/>
        </w:rPr>
        <w:t>Figure</w:t>
      </w:r>
      <w:r w:rsidR="00A673B3">
        <w:rPr>
          <w:rFonts w:cs="Arial"/>
        </w:rPr>
        <w:t xml:space="preserve"> </w:t>
      </w:r>
      <w:r>
        <w:rPr>
          <w:rFonts w:cs="Arial"/>
        </w:rPr>
        <w:t>2</w:t>
      </w:r>
      <w:r w:rsidR="00A673B3">
        <w:rPr>
          <w:rFonts w:cs="Arial"/>
        </w:rPr>
        <w:t xml:space="preserve">: </w:t>
      </w:r>
      <w:r w:rsidR="008464AA">
        <w:rPr>
          <w:rFonts w:cs="Arial"/>
        </w:rPr>
        <w:t xml:space="preserve">Example of </w:t>
      </w:r>
      <w:r w:rsidR="00D75966">
        <w:rPr>
          <w:rFonts w:cs="Arial"/>
        </w:rPr>
        <w:t xml:space="preserve">a </w:t>
      </w:r>
      <w:r w:rsidR="002669D5">
        <w:rPr>
          <w:rFonts w:cs="Arial"/>
        </w:rPr>
        <w:t>misaligned</w:t>
      </w:r>
      <w:r w:rsidR="00A673B3">
        <w:rPr>
          <w:rFonts w:cs="Arial"/>
        </w:rPr>
        <w:t xml:space="preserve"> pictogram within the pregnancy warning mark</w:t>
      </w:r>
    </w:p>
    <w:p w14:paraId="1277B298" w14:textId="77777777" w:rsidR="00A673B3" w:rsidRDefault="00A673B3" w:rsidP="00D35471">
      <w:pPr>
        <w:tabs>
          <w:tab w:val="num" w:pos="567"/>
        </w:tabs>
        <w:jc w:val="center"/>
        <w:rPr>
          <w:rFonts w:cs="Arial"/>
        </w:rPr>
      </w:pPr>
    </w:p>
    <w:p w14:paraId="75FC5B40" w14:textId="05FFA37B" w:rsidR="00857124" w:rsidRDefault="00857124" w:rsidP="00FB6277">
      <w:pPr>
        <w:tabs>
          <w:tab w:val="num" w:pos="567"/>
        </w:tabs>
        <w:rPr>
          <w:rFonts w:cs="Arial"/>
        </w:rPr>
      </w:pPr>
      <w:r>
        <w:rPr>
          <w:rFonts w:cs="Arial"/>
        </w:rPr>
        <w:t xml:space="preserve">A key issue, as shown above, is the intersection of the red strikethrough over the black silhouette due to the registration shift. However, the different coloured wording (red and black) can also </w:t>
      </w:r>
      <w:r w:rsidR="00B919C1">
        <w:rPr>
          <w:rFonts w:cs="Arial"/>
        </w:rPr>
        <w:t>be misaligned</w:t>
      </w:r>
      <w:r>
        <w:rPr>
          <w:rFonts w:cs="Arial"/>
        </w:rPr>
        <w:t xml:space="preserve"> (</w:t>
      </w:r>
      <w:r w:rsidRPr="00A40AF2">
        <w:rPr>
          <w:rFonts w:cs="Arial"/>
        </w:rPr>
        <w:t xml:space="preserve">see </w:t>
      </w:r>
      <w:r w:rsidR="009A3B72" w:rsidRPr="00A40AF2">
        <w:rPr>
          <w:rFonts w:cs="Arial"/>
        </w:rPr>
        <w:t xml:space="preserve">example in </w:t>
      </w:r>
      <w:r w:rsidR="002669D5">
        <w:rPr>
          <w:rFonts w:cs="Arial"/>
        </w:rPr>
        <w:t>Figure</w:t>
      </w:r>
      <w:r w:rsidRPr="00A40AF2">
        <w:rPr>
          <w:rFonts w:cs="Arial"/>
        </w:rPr>
        <w:t xml:space="preserve"> </w:t>
      </w:r>
      <w:r w:rsidR="002669D5">
        <w:rPr>
          <w:rFonts w:cs="Arial"/>
        </w:rPr>
        <w:t>3</w:t>
      </w:r>
      <w:r w:rsidRPr="00A40AF2">
        <w:rPr>
          <w:rFonts w:cs="Arial"/>
        </w:rPr>
        <w:t xml:space="preserve"> below).</w:t>
      </w:r>
    </w:p>
    <w:p w14:paraId="0677E4BD" w14:textId="77777777" w:rsidR="00857124" w:rsidRDefault="00857124" w:rsidP="00FB6277">
      <w:pPr>
        <w:tabs>
          <w:tab w:val="num" w:pos="567"/>
        </w:tabs>
        <w:rPr>
          <w:rFonts w:cs="Arial"/>
        </w:rPr>
      </w:pPr>
    </w:p>
    <w:p w14:paraId="0A27AB79" w14:textId="35355F05" w:rsidR="002F37A9" w:rsidRDefault="00AC2B63" w:rsidP="00AC2B63">
      <w:pPr>
        <w:tabs>
          <w:tab w:val="num" w:pos="567"/>
        </w:tabs>
        <w:jc w:val="center"/>
        <w:rPr>
          <w:rFonts w:cs="Arial"/>
        </w:rPr>
      </w:pPr>
      <w:r>
        <w:rPr>
          <w:rFonts w:cs="Arial"/>
          <w:noProof/>
          <w:lang w:eastAsia="en-GB" w:bidi="ar-SA"/>
        </w:rPr>
        <w:lastRenderedPageBreak/>
        <w:drawing>
          <wp:inline distT="0" distB="0" distL="0" distR="0" wp14:anchorId="32EDCC4E" wp14:editId="323BA4FD">
            <wp:extent cx="2343150" cy="790575"/>
            <wp:effectExtent l="0" t="0" r="0" b="9525"/>
            <wp:docPr id="5" name="Picture 2"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websit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43150" cy="790575"/>
                    </a:xfrm>
                    <a:prstGeom prst="rect">
                      <a:avLst/>
                    </a:prstGeom>
                    <a:noFill/>
                    <a:ln>
                      <a:noFill/>
                    </a:ln>
                  </pic:spPr>
                </pic:pic>
              </a:graphicData>
            </a:graphic>
          </wp:inline>
        </w:drawing>
      </w:r>
    </w:p>
    <w:p w14:paraId="14C510DD" w14:textId="21C9E7E4" w:rsidR="00A673B3" w:rsidRDefault="00BD6767" w:rsidP="00A673B3">
      <w:pPr>
        <w:tabs>
          <w:tab w:val="num" w:pos="567"/>
        </w:tabs>
        <w:jc w:val="center"/>
        <w:rPr>
          <w:rFonts w:cs="Arial"/>
        </w:rPr>
      </w:pPr>
      <w:r>
        <w:rPr>
          <w:rFonts w:cs="Arial"/>
        </w:rPr>
        <w:tab/>
      </w:r>
      <w:r w:rsidR="003C5092">
        <w:rPr>
          <w:rFonts w:cs="Arial"/>
        </w:rPr>
        <w:t>Figure</w:t>
      </w:r>
      <w:r w:rsidR="00A673B3">
        <w:rPr>
          <w:rFonts w:cs="Arial"/>
        </w:rPr>
        <w:t xml:space="preserve"> </w:t>
      </w:r>
      <w:r w:rsidR="003C5092">
        <w:rPr>
          <w:rFonts w:cs="Arial"/>
        </w:rPr>
        <w:t>3</w:t>
      </w:r>
      <w:r w:rsidR="00A673B3">
        <w:rPr>
          <w:rFonts w:cs="Arial"/>
        </w:rPr>
        <w:t xml:space="preserve">: </w:t>
      </w:r>
      <w:r w:rsidR="008464AA">
        <w:rPr>
          <w:rFonts w:cs="Arial"/>
        </w:rPr>
        <w:t xml:space="preserve">Example of </w:t>
      </w:r>
      <w:r>
        <w:rPr>
          <w:rFonts w:cs="Arial"/>
        </w:rPr>
        <w:t>misaligned</w:t>
      </w:r>
      <w:r w:rsidR="00A673B3">
        <w:rPr>
          <w:rFonts w:cs="Arial"/>
        </w:rPr>
        <w:t xml:space="preserve"> pictogram </w:t>
      </w:r>
      <w:r w:rsidR="008464AA">
        <w:rPr>
          <w:rFonts w:cs="Arial"/>
        </w:rPr>
        <w:t xml:space="preserve">and wording </w:t>
      </w:r>
      <w:r w:rsidR="00A673B3">
        <w:rPr>
          <w:rFonts w:cs="Arial"/>
        </w:rPr>
        <w:t>within the pregnancy warning mark</w:t>
      </w:r>
    </w:p>
    <w:p w14:paraId="1AF1F1C5" w14:textId="77777777" w:rsidR="00A673B3" w:rsidRDefault="00A673B3" w:rsidP="00FB6277">
      <w:pPr>
        <w:tabs>
          <w:tab w:val="num" w:pos="567"/>
        </w:tabs>
        <w:rPr>
          <w:rFonts w:cs="Arial"/>
        </w:rPr>
      </w:pPr>
    </w:p>
    <w:p w14:paraId="655E8DBB" w14:textId="1E97E482" w:rsidR="00A62BE9" w:rsidRDefault="00934B45" w:rsidP="00FB6277">
      <w:pPr>
        <w:tabs>
          <w:tab w:val="num" w:pos="567"/>
        </w:tabs>
        <w:rPr>
          <w:rFonts w:cs="Arial"/>
        </w:rPr>
      </w:pPr>
      <w:r>
        <w:rPr>
          <w:rFonts w:cs="Arial"/>
        </w:rPr>
        <w:t xml:space="preserve">Whilst the applicant and printers acknowledged that misalignment will not be evident on every </w:t>
      </w:r>
      <w:r w:rsidR="002E33E5">
        <w:rPr>
          <w:rFonts w:cs="Arial"/>
        </w:rPr>
        <w:t>CC</w:t>
      </w:r>
      <w:r>
        <w:rPr>
          <w:rFonts w:cs="Arial"/>
        </w:rPr>
        <w:t xml:space="preserve"> package, it is difficult to predict the incidence or extent of the misalignment within the margin of error. One print</w:t>
      </w:r>
      <w:r w:rsidR="00A31B0D">
        <w:rPr>
          <w:rFonts w:cs="Arial"/>
        </w:rPr>
        <w:t>er</w:t>
      </w:r>
      <w:r>
        <w:rPr>
          <w:rFonts w:cs="Arial"/>
        </w:rPr>
        <w:t xml:space="preserve"> noted that they get close to 90%</w:t>
      </w:r>
      <w:r w:rsidR="00EF6DAC">
        <w:rPr>
          <w:rFonts w:cs="Arial"/>
        </w:rPr>
        <w:t xml:space="preserve"> </w:t>
      </w:r>
      <w:r>
        <w:rPr>
          <w:rFonts w:cs="Arial"/>
        </w:rPr>
        <w:t>strikethrough</w:t>
      </w:r>
      <w:r w:rsidR="002826BA">
        <w:rPr>
          <w:rFonts w:cs="Arial"/>
        </w:rPr>
        <w:t xml:space="preserve"> (coloured red)</w:t>
      </w:r>
      <w:r w:rsidR="000E0857">
        <w:rPr>
          <w:rFonts w:cs="Arial"/>
        </w:rPr>
        <w:t xml:space="preserve"> </w:t>
      </w:r>
      <w:r>
        <w:rPr>
          <w:rFonts w:cs="Arial"/>
        </w:rPr>
        <w:t xml:space="preserve">movement </w:t>
      </w:r>
      <w:r w:rsidR="00A31B0D">
        <w:rPr>
          <w:rFonts w:cs="Arial"/>
        </w:rPr>
        <w:t xml:space="preserve">of varying amounts </w:t>
      </w:r>
      <w:r>
        <w:rPr>
          <w:rFonts w:cs="Arial"/>
        </w:rPr>
        <w:t xml:space="preserve">in a printing run. </w:t>
      </w:r>
    </w:p>
    <w:p w14:paraId="22866533" w14:textId="7DCEE88D" w:rsidR="00934B45" w:rsidRDefault="00934B45" w:rsidP="00FB6277">
      <w:pPr>
        <w:tabs>
          <w:tab w:val="num" w:pos="567"/>
        </w:tabs>
        <w:rPr>
          <w:rFonts w:cs="Arial"/>
        </w:rPr>
      </w:pPr>
    </w:p>
    <w:p w14:paraId="119CE9C5" w14:textId="3548EDCE" w:rsidR="00013E8F" w:rsidRDefault="00FB6277" w:rsidP="00334704">
      <w:pPr>
        <w:tabs>
          <w:tab w:val="num" w:pos="567"/>
        </w:tabs>
        <w:rPr>
          <w:rFonts w:cs="Arial"/>
        </w:rPr>
      </w:pPr>
      <w:r w:rsidRPr="3A6E3176">
        <w:rPr>
          <w:rFonts w:cs="Arial"/>
        </w:rPr>
        <w:t>Misalignment is not an issue with o</w:t>
      </w:r>
      <w:r w:rsidR="00273E77" w:rsidRPr="3A6E3176">
        <w:rPr>
          <w:rFonts w:cs="Arial"/>
        </w:rPr>
        <w:t>ther printing processes</w:t>
      </w:r>
      <w:r w:rsidRPr="3A6E3176">
        <w:rPr>
          <w:rFonts w:cs="Arial"/>
        </w:rPr>
        <w:t>, such as pre</w:t>
      </w:r>
      <w:r w:rsidR="00CD3C3C" w:rsidRPr="3A6E3176">
        <w:rPr>
          <w:rFonts w:cs="Arial"/>
        </w:rPr>
        <w:t>-</w:t>
      </w:r>
      <w:r w:rsidRPr="3A6E3176">
        <w:rPr>
          <w:rFonts w:cs="Arial"/>
        </w:rPr>
        <w:t>print</w:t>
      </w:r>
      <w:r w:rsidR="00CD3C3C" w:rsidRPr="3A6E3176">
        <w:rPr>
          <w:rFonts w:cs="Arial"/>
        </w:rPr>
        <w:t xml:space="preserve"> (flexographic</w:t>
      </w:r>
      <w:r w:rsidRPr="3A6E3176">
        <w:rPr>
          <w:rFonts w:cs="Arial"/>
        </w:rPr>
        <w:t>, lithographic</w:t>
      </w:r>
      <w:r w:rsidR="00CD3C3C" w:rsidRPr="3A6E3176">
        <w:rPr>
          <w:rFonts w:cs="Arial"/>
        </w:rPr>
        <w:t>)</w:t>
      </w:r>
      <w:r w:rsidRPr="3A6E3176">
        <w:rPr>
          <w:rFonts w:cs="Arial"/>
        </w:rPr>
        <w:t xml:space="preserve"> or digital printing</w:t>
      </w:r>
      <w:r w:rsidR="00A9629E" w:rsidRPr="3A6E3176">
        <w:rPr>
          <w:rFonts w:cs="Arial"/>
        </w:rPr>
        <w:t>. Digital printing has no registration issues</w:t>
      </w:r>
      <w:r w:rsidR="00804ADE" w:rsidRPr="3A6E3176">
        <w:rPr>
          <w:rFonts w:cs="Arial"/>
        </w:rPr>
        <w:t xml:space="preserve"> but is expensive, general</w:t>
      </w:r>
      <w:r w:rsidR="00BD4387" w:rsidRPr="3A6E3176">
        <w:rPr>
          <w:rFonts w:cs="Arial"/>
        </w:rPr>
        <w:t>ly</w:t>
      </w:r>
      <w:r w:rsidR="00804ADE" w:rsidRPr="3A6E3176">
        <w:rPr>
          <w:rFonts w:cs="Arial"/>
        </w:rPr>
        <w:t xml:space="preserve"> only suitable for short print runs and not widely available in the industry</w:t>
      </w:r>
      <w:r w:rsidR="006D7F47" w:rsidRPr="3A6E3176">
        <w:rPr>
          <w:rFonts w:cs="Arial"/>
        </w:rPr>
        <w:t>. Pre-print processes involve printing on</w:t>
      </w:r>
      <w:r w:rsidR="00BD4387" w:rsidRPr="3A6E3176">
        <w:rPr>
          <w:rFonts w:cs="Arial"/>
        </w:rPr>
        <w:t>to paper</w:t>
      </w:r>
      <w:r w:rsidR="00515BDD" w:rsidRPr="3A6E3176">
        <w:rPr>
          <w:rFonts w:cs="Arial"/>
        </w:rPr>
        <w:t xml:space="preserve"> which is then laminated onto the outside liner. The </w:t>
      </w:r>
      <w:r w:rsidR="0003078B" w:rsidRPr="3A6E3176">
        <w:rPr>
          <w:rFonts w:cs="Arial"/>
        </w:rPr>
        <w:t xml:space="preserve">registration </w:t>
      </w:r>
      <w:r w:rsidR="00515BDD" w:rsidRPr="3A6E3176">
        <w:rPr>
          <w:rFonts w:cs="Arial"/>
        </w:rPr>
        <w:t>margin of error</w:t>
      </w:r>
      <w:r w:rsidR="00BD4387" w:rsidRPr="3A6E3176">
        <w:rPr>
          <w:rFonts w:cs="Arial"/>
        </w:rPr>
        <w:t xml:space="preserve"> </w:t>
      </w:r>
      <w:r w:rsidR="0003078B" w:rsidRPr="3A6E3176">
        <w:rPr>
          <w:rFonts w:cs="Arial"/>
        </w:rPr>
        <w:t>is much less</w:t>
      </w:r>
      <w:r w:rsidR="00A7730A" w:rsidRPr="3A6E3176">
        <w:rPr>
          <w:rFonts w:cs="Arial"/>
        </w:rPr>
        <w:t xml:space="preserve"> compared with post-print</w:t>
      </w:r>
      <w:r w:rsidR="0003078B" w:rsidRPr="3A6E3176">
        <w:rPr>
          <w:rFonts w:cs="Arial"/>
        </w:rPr>
        <w:t xml:space="preserve"> at approximately </w:t>
      </w:r>
      <w:r w:rsidR="00004EDA" w:rsidRPr="3A6E3176">
        <w:rPr>
          <w:rFonts w:cs="Arial"/>
        </w:rPr>
        <w:t xml:space="preserve">≤ </w:t>
      </w:r>
      <w:r w:rsidR="0003078B" w:rsidRPr="3A6E3176">
        <w:rPr>
          <w:rFonts w:cs="Arial"/>
        </w:rPr>
        <w:t xml:space="preserve">0.5 mm </w:t>
      </w:r>
      <w:r w:rsidR="005236EE" w:rsidRPr="3A6E3176">
        <w:rPr>
          <w:rFonts w:cs="Arial"/>
        </w:rPr>
        <w:t xml:space="preserve">as the movement of paper through the printer is more tightly controlled. </w:t>
      </w:r>
      <w:r w:rsidRPr="3A6E3176">
        <w:rPr>
          <w:rFonts w:cs="Arial"/>
        </w:rPr>
        <w:t xml:space="preserve">However, </w:t>
      </w:r>
      <w:r w:rsidR="00744609" w:rsidRPr="3A6E3176">
        <w:rPr>
          <w:rFonts w:cs="Arial"/>
        </w:rPr>
        <w:t>according to the applicant</w:t>
      </w:r>
      <w:r w:rsidRPr="3A6E3176">
        <w:rPr>
          <w:rFonts w:cs="Arial"/>
        </w:rPr>
        <w:t>, these printing processes have higher associated costs for both set up and print</w:t>
      </w:r>
      <w:r w:rsidR="1F58BA9E" w:rsidRPr="3A6E3176">
        <w:rPr>
          <w:rFonts w:cs="Arial"/>
        </w:rPr>
        <w:t>ing</w:t>
      </w:r>
      <w:r w:rsidR="003324E1" w:rsidRPr="3A6E3176">
        <w:rPr>
          <w:rFonts w:cs="Arial"/>
        </w:rPr>
        <w:t xml:space="preserve"> and can have run-size limitations</w:t>
      </w:r>
      <w:r w:rsidRPr="3A6E3176">
        <w:rPr>
          <w:rFonts w:cs="Arial"/>
        </w:rPr>
        <w:t xml:space="preserve">. </w:t>
      </w:r>
      <w:r w:rsidR="00085E58" w:rsidRPr="3A6E3176">
        <w:rPr>
          <w:rFonts w:cs="Arial"/>
        </w:rPr>
        <w:t xml:space="preserve">   </w:t>
      </w:r>
    </w:p>
    <w:p w14:paraId="6510954E" w14:textId="41D9ECD6" w:rsidR="00334704" w:rsidRDefault="00334704" w:rsidP="00334704">
      <w:pPr>
        <w:tabs>
          <w:tab w:val="num" w:pos="567"/>
        </w:tabs>
        <w:rPr>
          <w:rFonts w:cs="Arial"/>
        </w:rPr>
      </w:pPr>
    </w:p>
    <w:p w14:paraId="649EEB25" w14:textId="0731A66F" w:rsidR="003900B6" w:rsidRDefault="00934B45" w:rsidP="003900B6">
      <w:pPr>
        <w:rPr>
          <w:rFonts w:cs="Arial"/>
        </w:rPr>
      </w:pPr>
      <w:r w:rsidRPr="003900B6">
        <w:rPr>
          <w:rFonts w:cs="Arial"/>
        </w:rPr>
        <w:t>According to the applicant</w:t>
      </w:r>
      <w:r w:rsidR="002A749C">
        <w:rPr>
          <w:rFonts w:cs="Arial"/>
        </w:rPr>
        <w:t xml:space="preserve"> and printers</w:t>
      </w:r>
      <w:r w:rsidRPr="003900B6">
        <w:rPr>
          <w:rFonts w:cs="Arial"/>
        </w:rPr>
        <w:t xml:space="preserve">, other options currently available to resolve the misalignment issue are not practical or feasible. </w:t>
      </w:r>
      <w:r w:rsidR="003900B6" w:rsidRPr="003900B6">
        <w:rPr>
          <w:rFonts w:cs="Arial"/>
        </w:rPr>
        <w:t xml:space="preserve">The </w:t>
      </w:r>
      <w:r w:rsidR="00B14BA9">
        <w:rPr>
          <w:rFonts w:cs="Arial"/>
        </w:rPr>
        <w:t>CC</w:t>
      </w:r>
      <w:r w:rsidR="003900B6" w:rsidRPr="003900B6">
        <w:rPr>
          <w:rFonts w:cs="Arial"/>
        </w:rPr>
        <w:t xml:space="preserve"> is primarily used as outer packaging for larger multi-packs of alcoholic beverages (e.g. 12 to 24 packs of beer, 6 and 12 bottles of wine). The strength, durability, protection</w:t>
      </w:r>
      <w:r w:rsidR="003900B6">
        <w:rPr>
          <w:rFonts w:cs="Arial"/>
        </w:rPr>
        <w:t xml:space="preserve"> and </w:t>
      </w:r>
      <w:r w:rsidR="003900B6" w:rsidRPr="003900B6">
        <w:rPr>
          <w:rFonts w:cs="Arial"/>
        </w:rPr>
        <w:t>light weight attributes</w:t>
      </w:r>
      <w:r w:rsidR="003900B6">
        <w:rPr>
          <w:rFonts w:cs="Arial"/>
        </w:rPr>
        <w:t>,</w:t>
      </w:r>
      <w:r w:rsidR="003900B6" w:rsidRPr="003900B6">
        <w:rPr>
          <w:rFonts w:cs="Arial"/>
        </w:rPr>
        <w:t xml:space="preserve"> and cheaper cost, makes the </w:t>
      </w:r>
      <w:r w:rsidR="005B4018">
        <w:rPr>
          <w:rFonts w:cs="Arial"/>
        </w:rPr>
        <w:t>CC</w:t>
      </w:r>
      <w:r w:rsidR="003900B6" w:rsidRPr="003900B6">
        <w:rPr>
          <w:rFonts w:cs="Arial"/>
        </w:rPr>
        <w:t xml:space="preserve"> irreplaceable as outer packaging for heavy and fragile products.</w:t>
      </w:r>
      <w:r w:rsidR="003900B6">
        <w:rPr>
          <w:rFonts w:cs="Arial"/>
        </w:rPr>
        <w:t xml:space="preserve"> The applicant also states that it is not feasible in terms of costs and practicality to over-sticker every </w:t>
      </w:r>
      <w:r w:rsidR="005B4018">
        <w:rPr>
          <w:rFonts w:cs="Arial"/>
        </w:rPr>
        <w:t>CC</w:t>
      </w:r>
      <w:r w:rsidR="003900B6">
        <w:rPr>
          <w:rFonts w:cs="Arial"/>
        </w:rPr>
        <w:t xml:space="preserve"> </w:t>
      </w:r>
      <w:r w:rsidR="002D6A71">
        <w:rPr>
          <w:rFonts w:cs="Arial"/>
        </w:rPr>
        <w:t>box</w:t>
      </w:r>
      <w:r w:rsidR="003900B6">
        <w:rPr>
          <w:rFonts w:cs="Arial"/>
        </w:rPr>
        <w:t xml:space="preserve">. This would introduce a major step in the printing process which may not be able to be automated. Another option is to increase the size of the pregnancy warning mark on the package to reduce the appearance of the misalignment (this is possible under the current provisions of Standard 2.7.1 which only set a minimum size requirement). However, the misalignment would not be completely resolved and the size would need to be substantially larger for the misalignment not to be obvious. </w:t>
      </w:r>
      <w:r w:rsidR="002C0508">
        <w:rPr>
          <w:rFonts w:cs="Arial"/>
        </w:rPr>
        <w:t xml:space="preserve">This would be </w:t>
      </w:r>
      <w:r w:rsidR="00194A85">
        <w:rPr>
          <w:rFonts w:cs="Arial"/>
        </w:rPr>
        <w:t xml:space="preserve">significantly </w:t>
      </w:r>
      <w:r w:rsidR="002C0508">
        <w:rPr>
          <w:rFonts w:cs="Arial"/>
        </w:rPr>
        <w:t>disproportionate to</w:t>
      </w:r>
      <w:r w:rsidR="00194A85">
        <w:rPr>
          <w:rFonts w:cs="Arial"/>
        </w:rPr>
        <w:t xml:space="preserve"> the size of pregnancy warning labels on</w:t>
      </w:r>
      <w:r w:rsidR="002C0508">
        <w:rPr>
          <w:rFonts w:cs="Arial"/>
        </w:rPr>
        <w:t xml:space="preserve"> other packages.</w:t>
      </w:r>
    </w:p>
    <w:p w14:paraId="2370D209" w14:textId="77777777" w:rsidR="00747402" w:rsidRDefault="00747402" w:rsidP="003900B6">
      <w:pPr>
        <w:rPr>
          <w:rFonts w:cs="Arial"/>
        </w:rPr>
      </w:pPr>
    </w:p>
    <w:p w14:paraId="5BD1D745" w14:textId="7BDD6F87" w:rsidR="006D2DB3" w:rsidRDefault="00747402" w:rsidP="003900B6">
      <w:pPr>
        <w:rPr>
          <w:rFonts w:cs="Arial"/>
        </w:rPr>
      </w:pPr>
      <w:r>
        <w:rPr>
          <w:rFonts w:cs="Arial"/>
        </w:rPr>
        <w:t>Another potential option</w:t>
      </w:r>
      <w:r w:rsidR="00314262">
        <w:rPr>
          <w:rFonts w:cs="Arial"/>
        </w:rPr>
        <w:t xml:space="preserve"> </w:t>
      </w:r>
      <w:r>
        <w:rPr>
          <w:rFonts w:cs="Arial"/>
        </w:rPr>
        <w:t>discussed by the applicant is for the pregnancy warning mark to be in a single colour on a white background.</w:t>
      </w:r>
      <w:r w:rsidR="000359F0">
        <w:rPr>
          <w:rFonts w:cs="Arial"/>
        </w:rPr>
        <w:t xml:space="preserve"> </w:t>
      </w:r>
      <w:r w:rsidR="007B3711">
        <w:rPr>
          <w:rFonts w:cs="Arial"/>
        </w:rPr>
        <w:t xml:space="preserve">This would require a change to the Code. </w:t>
      </w:r>
      <w:r w:rsidR="003A7E4E">
        <w:rPr>
          <w:rFonts w:cs="Arial"/>
        </w:rPr>
        <w:t xml:space="preserve">Based on information from </w:t>
      </w:r>
      <w:r w:rsidR="00AF618D">
        <w:rPr>
          <w:rFonts w:cs="Arial"/>
        </w:rPr>
        <w:t xml:space="preserve">the applicant and </w:t>
      </w:r>
      <w:r w:rsidR="003A7E4E">
        <w:rPr>
          <w:rFonts w:cs="Arial"/>
        </w:rPr>
        <w:t>printers</w:t>
      </w:r>
      <w:r w:rsidR="00AF618D">
        <w:rPr>
          <w:rFonts w:cs="Arial"/>
        </w:rPr>
        <w:t xml:space="preserve">, FSANZ understands there are two approaches that </w:t>
      </w:r>
      <w:r w:rsidR="00351E3E">
        <w:rPr>
          <w:rFonts w:cs="Arial"/>
        </w:rPr>
        <w:t>theoretically</w:t>
      </w:r>
      <w:r w:rsidR="00320507">
        <w:rPr>
          <w:rFonts w:cs="Arial"/>
        </w:rPr>
        <w:t xml:space="preserve"> could</w:t>
      </w:r>
      <w:r w:rsidR="00351E3E">
        <w:rPr>
          <w:rFonts w:cs="Arial"/>
        </w:rPr>
        <w:t xml:space="preserve"> </w:t>
      </w:r>
      <w:r w:rsidR="005605CB">
        <w:rPr>
          <w:rFonts w:cs="Arial"/>
        </w:rPr>
        <w:t>be used to prin</w:t>
      </w:r>
      <w:r w:rsidR="00351E3E">
        <w:rPr>
          <w:rFonts w:cs="Arial"/>
        </w:rPr>
        <w:t>t</w:t>
      </w:r>
      <w:r w:rsidR="005605CB">
        <w:rPr>
          <w:rFonts w:cs="Arial"/>
        </w:rPr>
        <w:t xml:space="preserve"> the pregnancy warning mark in a single colour on a </w:t>
      </w:r>
      <w:r w:rsidR="001F329D">
        <w:rPr>
          <w:rFonts w:cs="Arial"/>
        </w:rPr>
        <w:t xml:space="preserve">printed </w:t>
      </w:r>
      <w:r w:rsidR="005605CB">
        <w:rPr>
          <w:rFonts w:cs="Arial"/>
        </w:rPr>
        <w:t>white background</w:t>
      </w:r>
      <w:r w:rsidR="00351E3E">
        <w:rPr>
          <w:rFonts w:cs="Arial"/>
        </w:rPr>
        <w:t xml:space="preserve"> </w:t>
      </w:r>
      <w:r w:rsidR="00C10EC9">
        <w:rPr>
          <w:rFonts w:cs="Arial"/>
        </w:rPr>
        <w:t>(when a ‘kraft’ or ‘recycled’ liner is used</w:t>
      </w:r>
      <w:r w:rsidR="001F329D">
        <w:rPr>
          <w:rFonts w:cs="Arial"/>
        </w:rPr>
        <w:t xml:space="preserve">) </w:t>
      </w:r>
      <w:r w:rsidR="00351E3E">
        <w:rPr>
          <w:rFonts w:cs="Arial"/>
        </w:rPr>
        <w:t xml:space="preserve">when using the post-print process. </w:t>
      </w:r>
      <w:r w:rsidR="0054129B">
        <w:rPr>
          <w:rFonts w:cs="Arial"/>
        </w:rPr>
        <w:t>A</w:t>
      </w:r>
      <w:r w:rsidR="00A13EA7">
        <w:rPr>
          <w:rFonts w:cs="Arial"/>
        </w:rPr>
        <w:t xml:space="preserve"> block of white </w:t>
      </w:r>
      <w:r w:rsidR="007F3DB1">
        <w:rPr>
          <w:rFonts w:cs="Arial"/>
        </w:rPr>
        <w:t>c</w:t>
      </w:r>
      <w:r w:rsidR="00A13EA7">
        <w:rPr>
          <w:rFonts w:cs="Arial"/>
        </w:rPr>
        <w:t xml:space="preserve">ould be printed and </w:t>
      </w:r>
      <w:r w:rsidR="00572C5D">
        <w:rPr>
          <w:rFonts w:cs="Arial"/>
        </w:rPr>
        <w:t>dried</w:t>
      </w:r>
      <w:r w:rsidR="00102E8B">
        <w:rPr>
          <w:rFonts w:cs="Arial"/>
        </w:rPr>
        <w:t xml:space="preserve"> before printing the pregnancy warning </w:t>
      </w:r>
      <w:r w:rsidR="000B72C4">
        <w:rPr>
          <w:rFonts w:cs="Arial"/>
        </w:rPr>
        <w:t>mark</w:t>
      </w:r>
      <w:r w:rsidR="00B33A3D">
        <w:rPr>
          <w:rFonts w:cs="Arial"/>
        </w:rPr>
        <w:t xml:space="preserve"> on top</w:t>
      </w:r>
      <w:r w:rsidR="0049655F">
        <w:rPr>
          <w:rFonts w:cs="Arial"/>
        </w:rPr>
        <w:t>,</w:t>
      </w:r>
      <w:r w:rsidR="00102E8B">
        <w:rPr>
          <w:rFonts w:cs="Arial"/>
        </w:rPr>
        <w:t xml:space="preserve"> or </w:t>
      </w:r>
      <w:r w:rsidR="00570976">
        <w:rPr>
          <w:rFonts w:cs="Arial"/>
        </w:rPr>
        <w:t>space</w:t>
      </w:r>
      <w:r w:rsidR="00FC611A">
        <w:rPr>
          <w:rFonts w:cs="Arial"/>
        </w:rPr>
        <w:t xml:space="preserve"> for the </w:t>
      </w:r>
      <w:r w:rsidR="00EC7E04">
        <w:rPr>
          <w:rFonts w:cs="Arial"/>
        </w:rPr>
        <w:t>warning label</w:t>
      </w:r>
      <w:r w:rsidR="00FC611A">
        <w:rPr>
          <w:rFonts w:cs="Arial"/>
        </w:rPr>
        <w:t xml:space="preserve"> </w:t>
      </w:r>
      <w:r w:rsidR="0049655F">
        <w:rPr>
          <w:rFonts w:cs="Arial"/>
        </w:rPr>
        <w:t>c</w:t>
      </w:r>
      <w:r w:rsidR="00B33A3D">
        <w:rPr>
          <w:rFonts w:cs="Arial"/>
        </w:rPr>
        <w:t>ould be</w:t>
      </w:r>
      <w:r w:rsidR="00FC611A">
        <w:rPr>
          <w:rFonts w:cs="Arial"/>
        </w:rPr>
        <w:t xml:space="preserve"> left </w:t>
      </w:r>
      <w:r w:rsidR="00570976">
        <w:rPr>
          <w:rFonts w:cs="Arial"/>
        </w:rPr>
        <w:t xml:space="preserve">within the </w:t>
      </w:r>
      <w:r w:rsidR="001F329D">
        <w:rPr>
          <w:rFonts w:cs="Arial"/>
        </w:rPr>
        <w:t xml:space="preserve">printed </w:t>
      </w:r>
      <w:r w:rsidR="00570976">
        <w:rPr>
          <w:rFonts w:cs="Arial"/>
        </w:rPr>
        <w:t xml:space="preserve">white </w:t>
      </w:r>
      <w:r w:rsidR="00FC611A">
        <w:rPr>
          <w:rFonts w:cs="Arial"/>
        </w:rPr>
        <w:t xml:space="preserve">block so that the warning label is printed directly on the </w:t>
      </w:r>
      <w:r w:rsidR="006D2DB3">
        <w:rPr>
          <w:rFonts w:cs="Arial"/>
        </w:rPr>
        <w:t>CC</w:t>
      </w:r>
      <w:r w:rsidR="00FC611A">
        <w:rPr>
          <w:rFonts w:cs="Arial"/>
        </w:rPr>
        <w:t xml:space="preserve"> (a stencil</w:t>
      </w:r>
      <w:r w:rsidR="00A34B0B">
        <w:rPr>
          <w:rFonts w:cs="Arial"/>
        </w:rPr>
        <w:t xml:space="preserve"> or ‘trapping’</w:t>
      </w:r>
      <w:r w:rsidR="00FC611A">
        <w:rPr>
          <w:rFonts w:cs="Arial"/>
        </w:rPr>
        <w:t xml:space="preserve"> approach).</w:t>
      </w:r>
      <w:r w:rsidR="00F464B9">
        <w:rPr>
          <w:rFonts w:cs="Arial"/>
        </w:rPr>
        <w:t xml:space="preserve"> </w:t>
      </w:r>
    </w:p>
    <w:p w14:paraId="2F53D982" w14:textId="77777777" w:rsidR="006D2DB3" w:rsidRDefault="006D2DB3" w:rsidP="003900B6">
      <w:pPr>
        <w:rPr>
          <w:rFonts w:cs="Arial"/>
        </w:rPr>
      </w:pPr>
    </w:p>
    <w:p w14:paraId="5317BEA2" w14:textId="0BE73B98" w:rsidR="00747402" w:rsidRPr="003900B6" w:rsidRDefault="00F464B9" w:rsidP="003900B6">
      <w:pPr>
        <w:rPr>
          <w:rFonts w:cs="Arial"/>
        </w:rPr>
      </w:pPr>
      <w:r w:rsidRPr="3A6E3176">
        <w:rPr>
          <w:rFonts w:cs="Arial"/>
        </w:rPr>
        <w:t>Both approaches have technical issues.</w:t>
      </w:r>
      <w:r w:rsidR="00FC1E4C" w:rsidRPr="3A6E3176">
        <w:rPr>
          <w:rFonts w:cs="Arial"/>
        </w:rPr>
        <w:t xml:space="preserve"> For the first approach, </w:t>
      </w:r>
      <w:r w:rsidR="00676634" w:rsidRPr="3A6E3176">
        <w:rPr>
          <w:rFonts w:cs="Arial"/>
        </w:rPr>
        <w:t xml:space="preserve">it can be difficult to have sufficient drying time between the printing of the white block and the pregnancy warning </w:t>
      </w:r>
      <w:r w:rsidR="006D2DB3" w:rsidRPr="3A6E3176">
        <w:rPr>
          <w:rFonts w:cs="Arial"/>
        </w:rPr>
        <w:t>mark resulting in smudging</w:t>
      </w:r>
      <w:r w:rsidR="00337EF6" w:rsidRPr="3A6E3176">
        <w:rPr>
          <w:rFonts w:cs="Arial"/>
        </w:rPr>
        <w:t xml:space="preserve">. In addition, due to the margin of error for the two colours, misalignment can still occur resulting in white </w:t>
      </w:r>
      <w:r w:rsidR="00884BE7" w:rsidRPr="3A6E3176">
        <w:rPr>
          <w:rFonts w:cs="Arial"/>
        </w:rPr>
        <w:t xml:space="preserve">showing </w:t>
      </w:r>
      <w:r w:rsidR="00337EF6" w:rsidRPr="3A6E3176">
        <w:rPr>
          <w:rFonts w:cs="Arial"/>
        </w:rPr>
        <w:t xml:space="preserve">outside the border of the pregnancy warning mark or the </w:t>
      </w:r>
      <w:r w:rsidR="003865FE" w:rsidRPr="3A6E3176">
        <w:rPr>
          <w:rFonts w:cs="Arial"/>
        </w:rPr>
        <w:t>colour of the CC showing within the border of the</w:t>
      </w:r>
      <w:r w:rsidR="009D4697" w:rsidRPr="3A6E3176">
        <w:rPr>
          <w:rFonts w:cs="Arial"/>
        </w:rPr>
        <w:t xml:space="preserve"> pregnancy warning mark</w:t>
      </w:r>
      <w:r w:rsidR="00E95B17" w:rsidRPr="3A6E3176">
        <w:rPr>
          <w:rFonts w:cs="Arial"/>
        </w:rPr>
        <w:t>.</w:t>
      </w:r>
      <w:r w:rsidR="0054129B" w:rsidRPr="3A6E3176">
        <w:rPr>
          <w:rFonts w:cs="Arial"/>
        </w:rPr>
        <w:t xml:space="preserve"> A thicker border around the pregnancy warning mark</w:t>
      </w:r>
      <w:r w:rsidR="00715431" w:rsidRPr="3A6E3176">
        <w:rPr>
          <w:rFonts w:cs="Arial"/>
        </w:rPr>
        <w:t xml:space="preserve"> could be used to manage th</w:t>
      </w:r>
      <w:r w:rsidR="00453D3D" w:rsidRPr="3A6E3176">
        <w:rPr>
          <w:rFonts w:cs="Arial"/>
        </w:rPr>
        <w:t xml:space="preserve">e </w:t>
      </w:r>
      <w:r w:rsidR="001F329D" w:rsidRPr="3A6E3176">
        <w:rPr>
          <w:rFonts w:cs="Arial"/>
        </w:rPr>
        <w:t>latter misali</w:t>
      </w:r>
      <w:r w:rsidR="00453D3D" w:rsidRPr="3A6E3176">
        <w:rPr>
          <w:rFonts w:cs="Arial"/>
        </w:rPr>
        <w:t>g</w:t>
      </w:r>
      <w:r w:rsidR="001F329D" w:rsidRPr="3A6E3176">
        <w:rPr>
          <w:rFonts w:cs="Arial"/>
        </w:rPr>
        <w:t>n</w:t>
      </w:r>
      <w:r w:rsidR="00453D3D" w:rsidRPr="3A6E3176">
        <w:rPr>
          <w:rFonts w:cs="Arial"/>
        </w:rPr>
        <w:t>ment</w:t>
      </w:r>
      <w:r w:rsidR="00715431" w:rsidRPr="3A6E3176">
        <w:rPr>
          <w:rFonts w:cs="Arial"/>
        </w:rPr>
        <w:t xml:space="preserve"> issue</w:t>
      </w:r>
      <w:r w:rsidR="00453D3D" w:rsidRPr="3A6E3176">
        <w:rPr>
          <w:rFonts w:cs="Arial"/>
        </w:rPr>
        <w:t xml:space="preserve"> (but not the smudging issue)</w:t>
      </w:r>
      <w:r w:rsidR="00161BE5" w:rsidRPr="3A6E3176">
        <w:rPr>
          <w:rFonts w:cs="Arial"/>
        </w:rPr>
        <w:t>.</w:t>
      </w:r>
      <w:r w:rsidR="00E95B17" w:rsidRPr="3A6E3176">
        <w:rPr>
          <w:rFonts w:cs="Arial"/>
        </w:rPr>
        <w:t xml:space="preserve"> </w:t>
      </w:r>
      <w:r w:rsidR="00C96DD1" w:rsidRPr="3A6E3176">
        <w:rPr>
          <w:rFonts w:cs="Arial"/>
        </w:rPr>
        <w:t xml:space="preserve">Water based inks are used in the post-print process which require a </w:t>
      </w:r>
      <w:r w:rsidR="00A34B0B" w:rsidRPr="3A6E3176">
        <w:rPr>
          <w:rFonts w:cs="Arial"/>
        </w:rPr>
        <w:t>longer drying time than alcohol</w:t>
      </w:r>
      <w:r w:rsidR="21637CAF" w:rsidRPr="3A6E3176">
        <w:rPr>
          <w:rFonts w:cs="Arial"/>
        </w:rPr>
        <w:t>-</w:t>
      </w:r>
      <w:r w:rsidR="00A34B0B" w:rsidRPr="3A6E3176">
        <w:rPr>
          <w:rFonts w:cs="Arial"/>
        </w:rPr>
        <w:t>based inks.</w:t>
      </w:r>
      <w:r w:rsidR="00333A04" w:rsidRPr="3A6E3176">
        <w:rPr>
          <w:rFonts w:cs="Arial"/>
        </w:rPr>
        <w:t xml:space="preserve"> For the second </w:t>
      </w:r>
      <w:r w:rsidR="001F329D" w:rsidRPr="3A6E3176">
        <w:rPr>
          <w:rFonts w:cs="Arial"/>
        </w:rPr>
        <w:t>‘</w:t>
      </w:r>
      <w:r w:rsidR="0049655F" w:rsidRPr="3A6E3176">
        <w:rPr>
          <w:rFonts w:cs="Arial"/>
        </w:rPr>
        <w:t>trapping’ approach</w:t>
      </w:r>
      <w:r w:rsidR="00333A04" w:rsidRPr="3A6E3176">
        <w:rPr>
          <w:rFonts w:cs="Arial"/>
        </w:rPr>
        <w:t>, while smudging would not occur, the pregnancy warning mark could still be misaligned as</w:t>
      </w:r>
      <w:r w:rsidR="0051160E" w:rsidRPr="3A6E3176">
        <w:rPr>
          <w:rFonts w:cs="Arial"/>
        </w:rPr>
        <w:t xml:space="preserve"> with the registration margin of error, it is difficult to position the </w:t>
      </w:r>
      <w:r w:rsidR="0051160E" w:rsidRPr="3A6E3176">
        <w:rPr>
          <w:rFonts w:cs="Arial"/>
        </w:rPr>
        <w:lastRenderedPageBreak/>
        <w:t>pregnancy warning mark exactly in the correct position. Misalignment would potentially be most noticeable in the pictogram.</w:t>
      </w:r>
    </w:p>
    <w:p w14:paraId="0A360EB7" w14:textId="19E48C77" w:rsidR="004F69F6" w:rsidRPr="00932F14" w:rsidRDefault="00334704" w:rsidP="004646F8">
      <w:pPr>
        <w:pStyle w:val="Heading2"/>
      </w:pPr>
      <w:bookmarkStart w:id="49" w:name="_Toc114057806"/>
      <w:r>
        <w:t>2.2</w:t>
      </w:r>
      <w:r w:rsidR="00271F00">
        <w:tab/>
      </w:r>
      <w:bookmarkEnd w:id="44"/>
      <w:bookmarkEnd w:id="45"/>
      <w:r w:rsidR="008F079D">
        <w:t>Summary of c</w:t>
      </w:r>
      <w:r w:rsidR="007F3D47">
        <w:t>onsumer evidence</w:t>
      </w:r>
      <w:r w:rsidR="008F079D">
        <w:t xml:space="preserve"> that informed pregnancy warning label design in Proposal P1050, relevant to the application</w:t>
      </w:r>
      <w:bookmarkEnd w:id="49"/>
      <w:r w:rsidR="007F3D47">
        <w:t xml:space="preserve"> </w:t>
      </w:r>
      <w:bookmarkEnd w:id="46"/>
      <w:bookmarkEnd w:id="47"/>
    </w:p>
    <w:p w14:paraId="5CA60455" w14:textId="6532E9CD" w:rsidR="00D51B67" w:rsidRDefault="00D51B67" w:rsidP="00D51B67">
      <w:pPr>
        <w:pStyle w:val="Heading3"/>
        <w:rPr>
          <w:color w:val="auto"/>
        </w:rPr>
      </w:pPr>
      <w:r>
        <w:rPr>
          <w:color w:val="auto"/>
        </w:rPr>
        <w:t>2.2</w:t>
      </w:r>
      <w:r w:rsidRPr="00D43F01">
        <w:rPr>
          <w:color w:val="auto"/>
        </w:rPr>
        <w:t>.1</w:t>
      </w:r>
      <w:r w:rsidRPr="00D43F01">
        <w:rPr>
          <w:color w:val="auto"/>
        </w:rPr>
        <w:tab/>
      </w:r>
      <w:r>
        <w:rPr>
          <w:color w:val="auto"/>
        </w:rPr>
        <w:t>Overview</w:t>
      </w:r>
    </w:p>
    <w:p w14:paraId="33F7F52B" w14:textId="08A085E6" w:rsidR="008F079D" w:rsidRDefault="00D51B67" w:rsidP="3A6E3176">
      <w:r>
        <w:t xml:space="preserve">FSANZ’s design of the pregnancy warning label </w:t>
      </w:r>
      <w:r w:rsidR="00A313BF">
        <w:t xml:space="preserve">in Proposal P1050 </w:t>
      </w:r>
      <w:r>
        <w:t xml:space="preserve">was informed by </w:t>
      </w:r>
      <w:r w:rsidR="00A313BF">
        <w:t xml:space="preserve">a </w:t>
      </w:r>
      <w:r>
        <w:t>consumer literature review on warning label effectiveness</w:t>
      </w:r>
      <w:r w:rsidR="0052752A">
        <w:t xml:space="preserve"> </w:t>
      </w:r>
      <w:r>
        <w:t>(FSANZ, 2020).</w:t>
      </w:r>
      <w:r w:rsidR="008F079D">
        <w:t xml:space="preserve"> The discussion below is a summary of the evidence presented in th</w:t>
      </w:r>
      <w:r w:rsidR="00A313BF">
        <w:t>e</w:t>
      </w:r>
      <w:r w:rsidR="008F079D">
        <w:t xml:space="preserve"> literature review.</w:t>
      </w:r>
    </w:p>
    <w:p w14:paraId="71089076" w14:textId="77777777" w:rsidR="008F079D" w:rsidRDefault="008F079D" w:rsidP="3A6E3176"/>
    <w:p w14:paraId="73C58B15" w14:textId="113D8B8B" w:rsidR="3A6E3176" w:rsidRPr="00F1047C" w:rsidRDefault="00D51B67" w:rsidP="3A6E3176">
      <w:bookmarkStart w:id="50" w:name="_Hlk113182503"/>
      <w:r w:rsidRPr="00BC55CE">
        <w:t xml:space="preserve">To be effective, a warning label has to be noticed. </w:t>
      </w:r>
      <w:r>
        <w:t>After noticing a warning, the consumer needs to read and understand the content of the message. The effectiveness of warning labels is influenced by a range of design factors. These design factors can be manipulated to enhance both the noticeability and comprehension of warning labels. These design factors include colour, contrast and size.</w:t>
      </w:r>
      <w:r>
        <w:cr/>
      </w:r>
      <w:bookmarkEnd w:id="50"/>
    </w:p>
    <w:p w14:paraId="1F9DD074" w14:textId="3FE98963" w:rsidR="00D51B67" w:rsidRDefault="00D51B67" w:rsidP="00D51B67">
      <w:r>
        <w:t xml:space="preserve">In FSANZ’s final design, the signal words (‘PREGNANCY WARNING’) are in red text because evidence suggests that red signal words capture attention and convey a warning more than black signal words. The warning statement (‘alcohol can cause lifelong harm to your baby’) is in black text to provide a distinction with the red signal words. The circle and diagonal strikethrough of the pictorial </w:t>
      </w:r>
      <w:r w:rsidR="005C2EBC">
        <w:t>are</w:t>
      </w:r>
      <w:r>
        <w:t xml:space="preserve"> also in red because evidence suggests that this makes the pictorial more noticeable in contrast to other colours, and also </w:t>
      </w:r>
      <w:r w:rsidR="002660DA">
        <w:t xml:space="preserve">helps consumers to recognise </w:t>
      </w:r>
      <w:r>
        <w:t xml:space="preserve">the pictorial </w:t>
      </w:r>
      <w:r w:rsidR="003A68BD">
        <w:t>is</w:t>
      </w:r>
      <w:r w:rsidR="002660DA">
        <w:t xml:space="preserve"> </w:t>
      </w:r>
      <w:r>
        <w:t>a warning. The silhouette of the pregnant woman holding a drinking glass is in black to provide adequate contrast with the circle and diagonal strikethrough, and is consistent with the existing consumer evidence which has primarily tested red and black pictorials. The background of the warning label is white to produce adequate contrast and ensure legibility of the label.</w:t>
      </w:r>
    </w:p>
    <w:p w14:paraId="0452BE6C" w14:textId="77777777" w:rsidR="00D51B67" w:rsidRDefault="00D51B67" w:rsidP="00D51B67"/>
    <w:p w14:paraId="755FE543" w14:textId="011F15D0" w:rsidR="00D51B67" w:rsidRPr="003A01FB" w:rsidRDefault="00D51B67" w:rsidP="00D51B67">
      <w:r>
        <w:t>Multiple design elements (including colour and size) can be used in varying combinations to enhance the noticeability of warning labels. For example, a larger black and white warning may be as noticeable as a smaller red warning. This provides some degree of flexibility in design options to optimise the level of attention a warning receives. However, it should also be considered that some colour combinations may produce contrast that is difficult to read. Additionally, the colour green should be avoided</w:t>
      </w:r>
      <w:r w:rsidRPr="00A73215">
        <w:t xml:space="preserve"> </w:t>
      </w:r>
      <w:r>
        <w:t>as green generally conveys permission rather than prohibition, which may be confusing within the context of a warning label.</w:t>
      </w:r>
    </w:p>
    <w:p w14:paraId="7AEB25BC" w14:textId="77777777" w:rsidR="00D51B67" w:rsidRDefault="00D51B67" w:rsidP="00D51B67"/>
    <w:p w14:paraId="6D403DFA" w14:textId="69D66894" w:rsidR="00D51B67" w:rsidRPr="00D51B67" w:rsidRDefault="00D51B67" w:rsidP="00D51B67">
      <w:r>
        <w:t>A more detailed description of the consumer evidence from FSANZ (2020) is provided below.</w:t>
      </w:r>
    </w:p>
    <w:p w14:paraId="66CFC3CB" w14:textId="6A35067E" w:rsidR="00D51B67" w:rsidRDefault="00D51B67" w:rsidP="00D51B67">
      <w:pPr>
        <w:pStyle w:val="Heading3"/>
        <w:rPr>
          <w:color w:val="auto"/>
        </w:rPr>
      </w:pPr>
      <w:r>
        <w:rPr>
          <w:color w:val="auto"/>
        </w:rPr>
        <w:t>2.2</w:t>
      </w:r>
      <w:r w:rsidRPr="00D43F01">
        <w:rPr>
          <w:color w:val="auto"/>
        </w:rPr>
        <w:t>.</w:t>
      </w:r>
      <w:r>
        <w:rPr>
          <w:color w:val="auto"/>
        </w:rPr>
        <w:t>2</w:t>
      </w:r>
      <w:r w:rsidRPr="00D43F01">
        <w:rPr>
          <w:color w:val="auto"/>
        </w:rPr>
        <w:tab/>
      </w:r>
      <w:r>
        <w:rPr>
          <w:color w:val="auto"/>
        </w:rPr>
        <w:t>Colour and contrast</w:t>
      </w:r>
    </w:p>
    <w:p w14:paraId="675F2AA2" w14:textId="5036DB26" w:rsidR="00D51B67" w:rsidRDefault="00D51B67" w:rsidP="00D51B67">
      <w:r>
        <w:t>Colour has been used in warnings to enhance effectiveness both in terms of attention and comprehension. Some colour combinations produce contrast that is difficult to read (e.g. yellow on white) and legibility is reduced when the contrast between characters and the background is low. Dark lettering on a white background, or vice versa, rather than similar shades of a similar colour</w:t>
      </w:r>
      <w:r w:rsidR="33A0E853">
        <w:t>,</w:t>
      </w:r>
      <w:r>
        <w:t xml:space="preserve"> has been recommended to enhance legibility (</w:t>
      </w:r>
      <w:proofErr w:type="spellStart"/>
      <w:r>
        <w:t>Wogalter</w:t>
      </w:r>
      <w:proofErr w:type="spellEnd"/>
      <w:r>
        <w:t xml:space="preserve"> &amp; Leonard, 1999) .</w:t>
      </w:r>
    </w:p>
    <w:p w14:paraId="48F36D41" w14:textId="77777777" w:rsidR="00D51B67" w:rsidRDefault="00D51B67" w:rsidP="00D51B67"/>
    <w:p w14:paraId="68CB1A19" w14:textId="63823205" w:rsidR="00D51B67" w:rsidRDefault="00D51B67" w:rsidP="00D51B67">
      <w:r>
        <w:t xml:space="preserve">The consumer evidence indicates that the colour red attracts attention and also enhances recognition of a label being a warning. Conversely, the colour green can be ambiguous and confusing in the context of warnings. The available studies primarily used red and black labels. Some studies examined the colour of the warning statement, whereas other studies </w:t>
      </w:r>
      <w:r>
        <w:lastRenderedPageBreak/>
        <w:t>examined the colour of the pictorial. These studies are further described below.</w:t>
      </w:r>
    </w:p>
    <w:p w14:paraId="60FA0D0C" w14:textId="0966A034" w:rsidR="00D51B67" w:rsidRDefault="00D51B67" w:rsidP="00D51B67">
      <w:pPr>
        <w:pStyle w:val="Heading3"/>
        <w:rPr>
          <w:color w:val="auto"/>
        </w:rPr>
      </w:pPr>
      <w:r w:rsidRPr="00EB3EB4">
        <w:rPr>
          <w:i/>
          <w:color w:val="auto"/>
        </w:rPr>
        <w:t>2.2.2.1</w:t>
      </w:r>
      <w:r w:rsidRPr="00D43F01">
        <w:rPr>
          <w:color w:val="auto"/>
        </w:rPr>
        <w:tab/>
      </w:r>
      <w:r w:rsidRPr="00D51B67">
        <w:rPr>
          <w:i/>
          <w:color w:val="auto"/>
        </w:rPr>
        <w:t>Colour of the warning statement/signal words</w:t>
      </w:r>
    </w:p>
    <w:p w14:paraId="11A3B6FD" w14:textId="77777777" w:rsidR="00D51B67" w:rsidRDefault="00D51B67" w:rsidP="00D51B67">
      <w:r>
        <w:t>Loughery et al. (1993) used an experimental design to test the influence of colour (red vs. black) of a text warning on alcohol products. The text warning was the standard US mandated alcohol warning</w:t>
      </w:r>
      <w:r>
        <w:rPr>
          <w:rStyle w:val="FootnoteReference"/>
        </w:rPr>
        <w:footnoteReference w:id="8"/>
      </w:r>
      <w:r>
        <w:t>. Attention was measured by the time it took participants to</w:t>
      </w:r>
    </w:p>
    <w:p w14:paraId="50AFCFFE" w14:textId="77777777" w:rsidR="00D51B67" w:rsidRDefault="00D51B67" w:rsidP="00D51B67">
      <w:r>
        <w:t>accurately identify if the alcohol product included the warning. Participants more rapidly identified warnings when printed in red than when the warning was printed in black.</w:t>
      </w:r>
    </w:p>
    <w:p w14:paraId="03CB1313" w14:textId="77777777" w:rsidR="00D51B67" w:rsidRDefault="00D51B67" w:rsidP="00D51B67"/>
    <w:p w14:paraId="20A7848A" w14:textId="18E9CDA6" w:rsidR="00D51B67" w:rsidRDefault="00D51B67" w:rsidP="00D51B67">
      <w:r>
        <w:t>The literature review by Wilkinson et al. (2009) note</w:t>
      </w:r>
      <w:r w:rsidR="00CD4362">
        <w:t>d</w:t>
      </w:r>
      <w:r>
        <w:t xml:space="preserve"> the importance of colour in the context</w:t>
      </w:r>
    </w:p>
    <w:p w14:paraId="5594644B" w14:textId="04935751" w:rsidR="00D51B67" w:rsidRDefault="00D51B67" w:rsidP="00D51B67">
      <w:r>
        <w:t>of heuristic cues</w:t>
      </w:r>
      <w:r w:rsidR="59B3D838">
        <w:t xml:space="preserve"> </w:t>
      </w:r>
      <w:proofErr w:type="spellStart"/>
      <w:r w:rsidR="59B3D838">
        <w:t>i.e</w:t>
      </w:r>
      <w:proofErr w:type="spellEnd"/>
      <w:r>
        <w:t xml:space="preserve"> the use of learned knowledge structures in the form of simple</w:t>
      </w:r>
    </w:p>
    <w:p w14:paraId="38D879FF" w14:textId="77777777" w:rsidR="00D51B67" w:rsidRDefault="00D51B67" w:rsidP="00D51B67">
      <w:r>
        <w:t>decision rules to make judgements. In this context using a signal word (e.g. Warning) in the</w:t>
      </w:r>
    </w:p>
    <w:p w14:paraId="63CD02ED" w14:textId="77777777" w:rsidR="00D51B67" w:rsidRDefault="00D51B67" w:rsidP="00D51B67">
      <w:r>
        <w:t>colour red serves as a cue to consumers which is perceived as implying a greater hazard</w:t>
      </w:r>
    </w:p>
    <w:p w14:paraId="7DAB5CB5" w14:textId="6547A771" w:rsidR="00D51B67" w:rsidRPr="00D51B67" w:rsidRDefault="00D51B67" w:rsidP="00D51B67">
      <w:r>
        <w:t xml:space="preserve">than the equivalent signal word in black text (Zuckerman &amp; </w:t>
      </w:r>
      <w:proofErr w:type="spellStart"/>
      <w:r>
        <w:t>Chaiken</w:t>
      </w:r>
      <w:proofErr w:type="spellEnd"/>
      <w:r>
        <w:t>, 1998).</w:t>
      </w:r>
    </w:p>
    <w:p w14:paraId="6DC63A78" w14:textId="2812CD88" w:rsidR="00D51B67" w:rsidRDefault="00D51B67" w:rsidP="00D51B67">
      <w:pPr>
        <w:pStyle w:val="Heading3"/>
        <w:rPr>
          <w:color w:val="auto"/>
        </w:rPr>
      </w:pPr>
      <w:r w:rsidRPr="00EB3EB4">
        <w:rPr>
          <w:i/>
          <w:color w:val="auto"/>
        </w:rPr>
        <w:t>2.2.2.2</w:t>
      </w:r>
      <w:r w:rsidRPr="00EB3EB4">
        <w:rPr>
          <w:i/>
          <w:color w:val="auto"/>
        </w:rPr>
        <w:tab/>
      </w:r>
      <w:r w:rsidRPr="00D51B67">
        <w:rPr>
          <w:i/>
          <w:color w:val="auto"/>
        </w:rPr>
        <w:t>Colour of the pictorial</w:t>
      </w:r>
    </w:p>
    <w:p w14:paraId="413C4556" w14:textId="696AED87" w:rsidR="00D51B67" w:rsidRDefault="00D51B67" w:rsidP="00D51B67">
      <w:r w:rsidRPr="00704D92">
        <w:t xml:space="preserve">Rout and Hannan’s (2016) </w:t>
      </w:r>
      <w:r>
        <w:t>cross-sectional online survey</w:t>
      </w:r>
      <w:r w:rsidRPr="00704D92">
        <w:t xml:space="preserve"> tested the standard pictogram</w:t>
      </w:r>
      <w:r>
        <w:rPr>
          <w:rStyle w:val="FootnoteReference"/>
        </w:rPr>
        <w:footnoteReference w:id="9"/>
      </w:r>
      <w:r>
        <w:t xml:space="preserve"> </w:t>
      </w:r>
      <w:r w:rsidRPr="00704D92">
        <w:t>in four colour options: duotone gold (circle and strikethrough in darker tone); duotone grey</w:t>
      </w:r>
      <w:r w:rsidR="39064AD1" w:rsidRPr="00704D92">
        <w:t>;</w:t>
      </w:r>
      <w:r w:rsidRPr="00704D92">
        <w:t xml:space="preserve"> monochrome green; and red and black (circle and strikethrough in red). A large majority of the total sample of young women (97%) and of women with children (98%) considered the red and black version of the pictogram looked most like a warning.</w:t>
      </w:r>
    </w:p>
    <w:p w14:paraId="403CD0A1" w14:textId="77777777" w:rsidR="00D51B67" w:rsidRDefault="00D51B67" w:rsidP="00D51B67"/>
    <w:p w14:paraId="781C88E7" w14:textId="476766CF" w:rsidR="00D51B67" w:rsidRDefault="00D51B67" w:rsidP="00D51B67">
      <w:pPr>
        <w:rPr>
          <w:color w:val="000000" w:themeColor="text1"/>
        </w:rPr>
      </w:pPr>
      <w:r>
        <w:t xml:space="preserve">Hall and </w:t>
      </w:r>
      <w:r w:rsidR="002C51B2">
        <w:t>P</w:t>
      </w:r>
      <w:r>
        <w:t xml:space="preserve">artners (2018) examined consumer understanding and interpretation of pregnancy warning labels using focus groups. When shown a duo-toned green pictogram (lighter green silhouette with darker green circle and diagonal strikethrough), participants felt that it would be prudent to avoid this colour as green generally signals permission, rather than prohibition. Participants also viewed a series of alternative pictograms. </w:t>
      </w:r>
      <w:r w:rsidRPr="008012ED">
        <w:rPr>
          <w:color w:val="000000" w:themeColor="text1"/>
        </w:rPr>
        <w:t>Four of the alternative pictograms used a red circle and diagonal strikethrough</w:t>
      </w:r>
      <w:r>
        <w:rPr>
          <w:color w:val="000000" w:themeColor="text1"/>
        </w:rPr>
        <w:t xml:space="preserve"> (with a black silhouette)</w:t>
      </w:r>
      <w:r w:rsidRPr="008012ED">
        <w:rPr>
          <w:color w:val="000000" w:themeColor="text1"/>
        </w:rPr>
        <w:t>, the fifth used a more complex pictogram with several duller colours</w:t>
      </w:r>
      <w:r>
        <w:rPr>
          <w:color w:val="000000" w:themeColor="text1"/>
        </w:rPr>
        <w:t xml:space="preserve"> and no strikethrough</w:t>
      </w:r>
      <w:r w:rsidRPr="008012ED">
        <w:rPr>
          <w:color w:val="000000" w:themeColor="text1"/>
        </w:rPr>
        <w:t>. Participants highlighted the red colour as being eye catching and mak</w:t>
      </w:r>
      <w:r>
        <w:rPr>
          <w:color w:val="000000" w:themeColor="text1"/>
        </w:rPr>
        <w:t>ing</w:t>
      </w:r>
      <w:r w:rsidRPr="008012ED">
        <w:rPr>
          <w:color w:val="000000" w:themeColor="text1"/>
        </w:rPr>
        <w:t xml:space="preserve"> the pictogram stand out</w:t>
      </w:r>
      <w:r>
        <w:rPr>
          <w:color w:val="000000" w:themeColor="text1"/>
        </w:rPr>
        <w:t xml:space="preserve">. The colour red also conveyed danger. </w:t>
      </w:r>
      <w:r w:rsidRPr="008012ED">
        <w:rPr>
          <w:color w:val="000000" w:themeColor="text1"/>
        </w:rPr>
        <w:t xml:space="preserve">Participants did not draw the same conclusion for the more complex pictogram with </w:t>
      </w:r>
      <w:r>
        <w:rPr>
          <w:color w:val="000000" w:themeColor="text1"/>
        </w:rPr>
        <w:t>no circle and diagonal strikethrough.</w:t>
      </w:r>
    </w:p>
    <w:p w14:paraId="79BCECA4" w14:textId="77777777" w:rsidR="00D51B67" w:rsidRDefault="00D51B67" w:rsidP="00D51B67">
      <w:pPr>
        <w:rPr>
          <w:color w:val="000000" w:themeColor="text1"/>
        </w:rPr>
      </w:pPr>
    </w:p>
    <w:p w14:paraId="5FCF50FA" w14:textId="77777777" w:rsidR="00D51B67" w:rsidRDefault="00D51B67" w:rsidP="00D51B67">
      <w:r>
        <w:t>Pham et al. (2018) combined an online survey and eye tracking approach to measure the</w:t>
      </w:r>
    </w:p>
    <w:p w14:paraId="1AE59463" w14:textId="176C0CFC" w:rsidR="00D51B67" w:rsidRPr="00D51B67" w:rsidRDefault="00D51B67" w:rsidP="00D51B67">
      <w:r>
        <w:t xml:space="preserve">impacts of size and colour of warning labels on attention. The labels used were the standard pictogram (grey silhouette with black circle and diagonal strikethrough) with the black and white ‘Get the facts DRINK WISE.ORG.AU’ text-based logo. Three experimental conditions were tested: 1) colour: using a red circle and diagonal strikethrough in the pictogram and a red background in the logo; 2) size: increased size by 50% and 3) colour and size: incorporating both the colour changes and size increases. The control condition used a black and white pictogram and ‘get the facts’ logo in the standard size recommended in </w:t>
      </w:r>
      <w:proofErr w:type="spellStart"/>
      <w:r>
        <w:t>DrinkWise</w:t>
      </w:r>
      <w:proofErr w:type="spellEnd"/>
      <w:r>
        <w:t xml:space="preserve"> guidance. The control and experimental conditions were identical for both the survey and the eye tracking components of the study. Pham et al. (2018) reported a significant effect in the level of attention as measured by a self-report composite scale, with participants exposed to the colour and size condition reporting the highest level of attention compared to the smaller </w:t>
      </w:r>
      <w:r>
        <w:lastRenderedPageBreak/>
        <w:t>monochrome control. There was a trend of increasing attention from the control condition to the colour condition to the size condition and finally to the colour and size condition. However, it is unclear whether the differences between each condition were significant beyond that of the control and ‘colour and size’ condition</w:t>
      </w:r>
      <w:r>
        <w:rPr>
          <w:rStyle w:val="FootnoteReference"/>
        </w:rPr>
        <w:footnoteReference w:id="10"/>
      </w:r>
      <w:r>
        <w:t xml:space="preserve">. The eye tracking component of the study found that more participants (81%) looked at the warning in the colour and increased size condition compared </w:t>
      </w:r>
      <w:r w:rsidR="00702482">
        <w:t>with</w:t>
      </w:r>
      <w:r>
        <w:t xml:space="preserve"> participants in the control condition (59%). Although there were no significant differences between the control and treatment groups in number or duration of eye fixations, the eye-tracking study was underpowered to detect anything but very large effects (sample sizes varied across the four groups from 11 to 17). Although Pham et al. (2018) did not sufficiently examine the independent effects of pictorial colour, findings from the previously described studies demonstrate that colour alone can increase the effectiveness of a warning label. </w:t>
      </w:r>
    </w:p>
    <w:p w14:paraId="5D12355A" w14:textId="1DA5632C" w:rsidR="00D51B67" w:rsidRDefault="00D51B67" w:rsidP="00D51B67">
      <w:pPr>
        <w:pStyle w:val="Heading3"/>
        <w:rPr>
          <w:color w:val="auto"/>
        </w:rPr>
      </w:pPr>
      <w:r w:rsidRPr="00EB3EB4">
        <w:rPr>
          <w:i/>
          <w:color w:val="auto"/>
        </w:rPr>
        <w:t>2.2.</w:t>
      </w:r>
      <w:r w:rsidR="00EB3EB4" w:rsidRPr="00EB3EB4">
        <w:rPr>
          <w:i/>
          <w:color w:val="auto"/>
        </w:rPr>
        <w:t>2.3</w:t>
      </w:r>
      <w:r w:rsidRPr="00EB3EB4">
        <w:rPr>
          <w:i/>
          <w:color w:val="auto"/>
        </w:rPr>
        <w:tab/>
        <w:t>Summary regarding the statement and pictorial</w:t>
      </w:r>
    </w:p>
    <w:p w14:paraId="7ECE0519" w14:textId="6E30E28C" w:rsidR="00D51B67" w:rsidRDefault="00D51B67" w:rsidP="00D51B67">
      <w:r>
        <w:t>A red warning statement/signal word can increase the reported level of attention that the warning receives and also implies a greater hazard than the equivalent signal word in black text. The use of a red circle and diagonal strikethrough in the pictogram was also considered more noticeable in contrast to other colours and also looked more like a warning. Conversely, use of the colour green may signal permission, rather than prohibition.</w:t>
      </w:r>
    </w:p>
    <w:p w14:paraId="3C198808" w14:textId="4DF5446C" w:rsidR="00D51B67" w:rsidRDefault="00D51B67" w:rsidP="00D51B67">
      <w:pPr>
        <w:pStyle w:val="Heading3"/>
        <w:rPr>
          <w:color w:val="auto"/>
        </w:rPr>
      </w:pPr>
      <w:r>
        <w:rPr>
          <w:color w:val="auto"/>
        </w:rPr>
        <w:t>2.2</w:t>
      </w:r>
      <w:r w:rsidRPr="00D43F01">
        <w:rPr>
          <w:color w:val="auto"/>
        </w:rPr>
        <w:t>.</w:t>
      </w:r>
      <w:r w:rsidR="00EB3EB4">
        <w:rPr>
          <w:color w:val="auto"/>
        </w:rPr>
        <w:t>3</w:t>
      </w:r>
      <w:r w:rsidRPr="00D43F01">
        <w:rPr>
          <w:color w:val="auto"/>
        </w:rPr>
        <w:tab/>
      </w:r>
      <w:r>
        <w:rPr>
          <w:color w:val="auto"/>
        </w:rPr>
        <w:t>Size</w:t>
      </w:r>
    </w:p>
    <w:p w14:paraId="78230602" w14:textId="58F0680C" w:rsidR="00D51B67" w:rsidRDefault="2D178A76" w:rsidP="00D51B67">
      <w:proofErr w:type="spellStart"/>
      <w:r>
        <w:t>Laughery</w:t>
      </w:r>
      <w:proofErr w:type="spellEnd"/>
      <w:r>
        <w:t xml:space="preserve"> and </w:t>
      </w:r>
      <w:proofErr w:type="spellStart"/>
      <w:r>
        <w:t>Wogalter</w:t>
      </w:r>
      <w:proofErr w:type="spellEnd"/>
      <w:r>
        <w:t xml:space="preserve"> (2016) note</w:t>
      </w:r>
      <w:r w:rsidR="3DEEF3EB">
        <w:t>d</w:t>
      </w:r>
      <w:r>
        <w:t xml:space="preserve"> that ‘bigger is generally better’, but qualify it is generally</w:t>
      </w:r>
      <w:r w:rsidR="2F447387">
        <w:t xml:space="preserve"> </w:t>
      </w:r>
      <w:r>
        <w:t>the size of the warning relative to other displayed information. Size also incorporates</w:t>
      </w:r>
      <w:r w:rsidR="287FA588">
        <w:t xml:space="preserve"> </w:t>
      </w:r>
      <w:r>
        <w:t>font size and the size of pictures or images used in the warning. There is a large research</w:t>
      </w:r>
      <w:r w:rsidR="463044A8">
        <w:t xml:space="preserve"> </w:t>
      </w:r>
      <w:r>
        <w:t>literature within advertising and marketing that have shown that large objects are more likely</w:t>
      </w:r>
      <w:r w:rsidR="13A9BD6A">
        <w:t xml:space="preserve"> </w:t>
      </w:r>
      <w:r>
        <w:t>to be noticed, noticed more quickly and receive more attention than smaller objects (</w:t>
      </w:r>
      <w:proofErr w:type="spellStart"/>
      <w:r>
        <w:t>Peschel</w:t>
      </w:r>
      <w:proofErr w:type="spellEnd"/>
      <w:r w:rsidR="5FB4BFF3">
        <w:t xml:space="preserve"> </w:t>
      </w:r>
      <w:r>
        <w:t xml:space="preserve">&amp; </w:t>
      </w:r>
      <w:proofErr w:type="spellStart"/>
      <w:r>
        <w:t>Orquin</w:t>
      </w:r>
      <w:proofErr w:type="spellEnd"/>
      <w:r>
        <w:t>, 2013). Studies have also explored the impact of size on warning label effectiveness.</w:t>
      </w:r>
    </w:p>
    <w:p w14:paraId="72AA7827" w14:textId="77777777" w:rsidR="00D51B67" w:rsidRDefault="00D51B67" w:rsidP="00D51B67"/>
    <w:p w14:paraId="10D07312" w14:textId="77777777" w:rsidR="00D51B67" w:rsidRDefault="00D51B67" w:rsidP="00D51B67">
      <w:r>
        <w:t>As previously described, Pham et al. (2018) found that a 50% increase in warning label size coupled with using the colour red led to an increase in the noticeability of the warning.</w:t>
      </w:r>
      <w:r w:rsidRPr="00455CF4">
        <w:t xml:space="preserve"> </w:t>
      </w:r>
      <w:r>
        <w:t xml:space="preserve">It is unclear whether the increase in size alone led to an increase in noticeability. The original size of the warning label in the control condition was the standard size recommended in </w:t>
      </w:r>
      <w:proofErr w:type="spellStart"/>
      <w:r>
        <w:t>DrinkWise</w:t>
      </w:r>
      <w:proofErr w:type="spellEnd"/>
      <w:r>
        <w:t xml:space="preserve"> guidance</w:t>
      </w:r>
      <w:r>
        <w:rPr>
          <w:rStyle w:val="FootnoteReference"/>
        </w:rPr>
        <w:footnoteReference w:id="11"/>
      </w:r>
      <w:r>
        <w:t>. The warning labels were presented alongside other on-label information.</w:t>
      </w:r>
    </w:p>
    <w:p w14:paraId="27DB399B" w14:textId="77777777" w:rsidR="00D51B67" w:rsidRPr="0008037E" w:rsidRDefault="00D51B67" w:rsidP="00D51B67"/>
    <w:p w14:paraId="5798A79D" w14:textId="5842486E" w:rsidR="00D51B67" w:rsidRPr="00D51B67" w:rsidRDefault="00D51B67" w:rsidP="00D51B67">
      <w:r>
        <w:t>Nevertheless, the effect of size alone on the effectiveness of warning labels is</w:t>
      </w:r>
      <w:r w:rsidDel="00251872">
        <w:t xml:space="preserve"> </w:t>
      </w:r>
      <w:r>
        <w:t>further supported by qualitative studies that found that the small size of warning labels was considered by participants to reduce the effectiveness of current voluntary warnings (</w:t>
      </w:r>
      <w:proofErr w:type="spellStart"/>
      <w:r>
        <w:t>Coomber</w:t>
      </w:r>
      <w:proofErr w:type="spellEnd"/>
      <w:r>
        <w:t xml:space="preserve"> et al., 2018; Jones &amp; Gregory, 2010).</w:t>
      </w:r>
    </w:p>
    <w:p w14:paraId="4B4B5381" w14:textId="558C01F3" w:rsidR="004F69F6" w:rsidRPr="00932F14" w:rsidRDefault="00D3171B" w:rsidP="004646F8">
      <w:pPr>
        <w:pStyle w:val="Heading2"/>
      </w:pPr>
      <w:bookmarkStart w:id="51" w:name="_Toc175381442"/>
      <w:bookmarkStart w:id="52" w:name="_Toc286391010"/>
      <w:bookmarkStart w:id="53" w:name="_Toc300933426"/>
      <w:bookmarkStart w:id="54" w:name="_Toc114057807"/>
      <w:r>
        <w:t>2</w:t>
      </w:r>
      <w:r w:rsidR="0045556F">
        <w:t>.</w:t>
      </w:r>
      <w:r w:rsidR="005968ED">
        <w:t>3</w:t>
      </w:r>
      <w:r w:rsidR="00271F00">
        <w:tab/>
      </w:r>
      <w:bookmarkEnd w:id="51"/>
      <w:bookmarkEnd w:id="52"/>
      <w:bookmarkEnd w:id="53"/>
      <w:r w:rsidR="0045556F">
        <w:t>R</w:t>
      </w:r>
      <w:r w:rsidR="00707E72">
        <w:t>isk m</w:t>
      </w:r>
      <w:r w:rsidR="008A35FB">
        <w:t>anagement</w:t>
      </w:r>
      <w:bookmarkEnd w:id="54"/>
    </w:p>
    <w:p w14:paraId="6BD17437" w14:textId="1CC01F59" w:rsidR="0075461A" w:rsidRDefault="0075461A" w:rsidP="00DD3C5E">
      <w:bookmarkStart w:id="55" w:name="_Toc300761910"/>
      <w:r w:rsidRPr="0075461A">
        <w:t>FSANZ has</w:t>
      </w:r>
      <w:r>
        <w:t xml:space="preserve"> considered the requested </w:t>
      </w:r>
      <w:r w:rsidR="001E0913">
        <w:t>amendment to the</w:t>
      </w:r>
      <w:r w:rsidR="001E40FB">
        <w:t xml:space="preserve"> pregnancy warning mark</w:t>
      </w:r>
      <w:r>
        <w:t xml:space="preserve"> in the context of the technical issues</w:t>
      </w:r>
      <w:r w:rsidR="00F0448F">
        <w:t xml:space="preserve"> and</w:t>
      </w:r>
      <w:r w:rsidR="00185CEC">
        <w:t xml:space="preserve"> consumer evidence</w:t>
      </w:r>
      <w:r w:rsidR="00C60AA8">
        <w:t>.</w:t>
      </w:r>
      <w:r>
        <w:t xml:space="preserve"> </w:t>
      </w:r>
      <w:r w:rsidR="001C496E">
        <w:t xml:space="preserve">We have also had regard to other </w:t>
      </w:r>
      <w:r w:rsidR="001C496E">
        <w:lastRenderedPageBreak/>
        <w:t xml:space="preserve">matters </w:t>
      </w:r>
      <w:r w:rsidR="005B0F8E">
        <w:t xml:space="preserve">as </w:t>
      </w:r>
      <w:r w:rsidR="001C496E">
        <w:t>outlined in section 2.</w:t>
      </w:r>
      <w:r w:rsidR="00707758">
        <w:t>5</w:t>
      </w:r>
      <w:r w:rsidR="001C496E">
        <w:t>.</w:t>
      </w:r>
    </w:p>
    <w:p w14:paraId="678A17CA" w14:textId="49F8DA1D" w:rsidR="0014522F" w:rsidRDefault="00001DC1" w:rsidP="0014522F">
      <w:pPr>
        <w:pStyle w:val="Heading3"/>
      </w:pPr>
      <w:r>
        <w:t>2.</w:t>
      </w:r>
      <w:r w:rsidR="005968ED">
        <w:t>3</w:t>
      </w:r>
      <w:r>
        <w:t>.1</w:t>
      </w:r>
      <w:r>
        <w:tab/>
      </w:r>
      <w:r w:rsidR="006A1E67">
        <w:t xml:space="preserve">Approach </w:t>
      </w:r>
    </w:p>
    <w:p w14:paraId="11181C92" w14:textId="2985B23A" w:rsidR="00047182" w:rsidRDefault="0047793D" w:rsidP="008E3F70">
      <w:r>
        <w:t>Given</w:t>
      </w:r>
      <w:r w:rsidR="008E3F70">
        <w:t xml:space="preserve"> the technical issues </w:t>
      </w:r>
      <w:r w:rsidR="00047182">
        <w:t xml:space="preserve">and costs </w:t>
      </w:r>
      <w:r w:rsidR="008E3F70">
        <w:t>associated with the existing prescribed pregnancy</w:t>
      </w:r>
      <w:r w:rsidR="007170BB">
        <w:t xml:space="preserve"> warning mark</w:t>
      </w:r>
      <w:r w:rsidR="008E3F70">
        <w:t xml:space="preserve"> </w:t>
      </w:r>
      <w:r w:rsidR="00946256">
        <w:t>(see section</w:t>
      </w:r>
      <w:r w:rsidR="00047182">
        <w:t xml:space="preserve"> 2.1</w:t>
      </w:r>
      <w:r w:rsidR="00946256">
        <w:t>)</w:t>
      </w:r>
      <w:r w:rsidR="008E3F70">
        <w:t xml:space="preserve">, FSANZ </w:t>
      </w:r>
      <w:r w:rsidR="00047182">
        <w:t>proposes</w:t>
      </w:r>
      <w:r w:rsidR="008E3F70">
        <w:t xml:space="preserve"> to permit an </w:t>
      </w:r>
      <w:r w:rsidR="00DC6EF2">
        <w:t xml:space="preserve">alternative </w:t>
      </w:r>
      <w:r w:rsidR="008E3F70">
        <w:t>pregnancy warning mark</w:t>
      </w:r>
      <w:r w:rsidR="00D52A43">
        <w:t xml:space="preserve"> </w:t>
      </w:r>
      <w:r w:rsidR="00BD56BE">
        <w:t>when</w:t>
      </w:r>
      <w:r w:rsidR="00090DC8">
        <w:t xml:space="preserve"> the </w:t>
      </w:r>
      <w:r w:rsidR="006642EE">
        <w:t xml:space="preserve">post-print process is used </w:t>
      </w:r>
      <w:r w:rsidR="00FC2F2D">
        <w:t>on</w:t>
      </w:r>
      <w:r w:rsidR="00732D6D">
        <w:t xml:space="preserve"> </w:t>
      </w:r>
      <w:r w:rsidR="006642EE">
        <w:t>CC</w:t>
      </w:r>
      <w:r w:rsidR="006C3FAC">
        <w:t xml:space="preserve"> </w:t>
      </w:r>
      <w:r w:rsidR="008E3F70">
        <w:t xml:space="preserve">outer </w:t>
      </w:r>
      <w:r w:rsidR="006654D2">
        <w:t xml:space="preserve">packages </w:t>
      </w:r>
      <w:r w:rsidR="006D016A">
        <w:t>containing more than one individual unit</w:t>
      </w:r>
      <w:r w:rsidR="008E3F70">
        <w:t xml:space="preserve"> of </w:t>
      </w:r>
      <w:r w:rsidR="00FC2F2D">
        <w:t xml:space="preserve">an </w:t>
      </w:r>
      <w:r w:rsidR="008E3F70">
        <w:t xml:space="preserve">alcoholic beverage. </w:t>
      </w:r>
      <w:r w:rsidR="00CF7B36">
        <w:t>FSANZ considers a</w:t>
      </w:r>
      <w:r w:rsidR="008E3F70">
        <w:t xml:space="preserve"> misaligned label could reduce the </w:t>
      </w:r>
      <w:r w:rsidR="005D3F5E">
        <w:t xml:space="preserve">readability and </w:t>
      </w:r>
      <w:r w:rsidR="008E3F70">
        <w:t>effectiveness of the pregnancy warning mark</w:t>
      </w:r>
      <w:r w:rsidR="005D3F5E">
        <w:t>,</w:t>
      </w:r>
      <w:r w:rsidR="008E3F70">
        <w:t xml:space="preserve"> and</w:t>
      </w:r>
      <w:r w:rsidR="001639FE">
        <w:t xml:space="preserve"> risk</w:t>
      </w:r>
      <w:r w:rsidR="008E3F70">
        <w:t xml:space="preserve"> potential n</w:t>
      </w:r>
      <w:r w:rsidR="00D7305C">
        <w:t xml:space="preserve">on-compliance with the current </w:t>
      </w:r>
      <w:r w:rsidR="00D7305C" w:rsidRPr="00431AC4">
        <w:t>s</w:t>
      </w:r>
      <w:r w:rsidR="008E3F70" w:rsidRPr="00431AC4">
        <w:t xml:space="preserve">tandard. </w:t>
      </w:r>
      <w:r w:rsidR="00A92232" w:rsidRPr="00431AC4">
        <w:t>This</w:t>
      </w:r>
      <w:r w:rsidR="00C41E04" w:rsidRPr="00431AC4">
        <w:t xml:space="preserve"> </w:t>
      </w:r>
      <w:r w:rsidR="005B0F8E" w:rsidRPr="00431AC4">
        <w:t>proposed</w:t>
      </w:r>
      <w:r w:rsidR="005B0F8E">
        <w:t xml:space="preserve"> </w:t>
      </w:r>
      <w:r w:rsidR="00C41E04">
        <w:t xml:space="preserve">pregnancy warning mark will be </w:t>
      </w:r>
      <w:r w:rsidR="001804CE">
        <w:t xml:space="preserve">an alternative </w:t>
      </w:r>
      <w:r w:rsidR="00C41E04">
        <w:t>to the existing prescribed requirements (i.e. either can be used for these CC outer packages</w:t>
      </w:r>
      <w:r w:rsidR="001A76CB">
        <w:t xml:space="preserve"> when a post-print </w:t>
      </w:r>
      <w:r w:rsidR="0061373E">
        <w:t>process is used</w:t>
      </w:r>
      <w:r w:rsidR="00C41E04">
        <w:t xml:space="preserve">). </w:t>
      </w:r>
      <w:r w:rsidR="005B0F8E">
        <w:t xml:space="preserve">Other </w:t>
      </w:r>
      <w:r w:rsidR="0014522F">
        <w:t>options</w:t>
      </w:r>
      <w:r w:rsidR="001639FE">
        <w:t xml:space="preserve"> currently available to industry</w:t>
      </w:r>
      <w:r w:rsidR="00047182">
        <w:t xml:space="preserve"> </w:t>
      </w:r>
      <w:r w:rsidR="0014522F">
        <w:t>(e.g. changing packaging material</w:t>
      </w:r>
      <w:r w:rsidR="00883ADC">
        <w:t xml:space="preserve"> or</w:t>
      </w:r>
      <w:r w:rsidR="0014522F">
        <w:t xml:space="preserve"> printing process</w:t>
      </w:r>
      <w:r w:rsidR="00047182">
        <w:t xml:space="preserve"> as discussed in section 2.1</w:t>
      </w:r>
      <w:r w:rsidR="0014522F">
        <w:t xml:space="preserve">) </w:t>
      </w:r>
      <w:r w:rsidR="00047182">
        <w:t xml:space="preserve">are not practical or would incur </w:t>
      </w:r>
      <w:r w:rsidR="00B603B6">
        <w:t>further</w:t>
      </w:r>
      <w:r w:rsidR="00047182">
        <w:t xml:space="preserve"> costs</w:t>
      </w:r>
      <w:r w:rsidR="00257B88">
        <w:t>.</w:t>
      </w:r>
      <w:r w:rsidR="00001DC1">
        <w:t xml:space="preserve"> </w:t>
      </w:r>
      <w:r w:rsidR="001E0913">
        <w:t>H</w:t>
      </w:r>
      <w:r w:rsidR="00001DC1">
        <w:t>owever, we have further considered the colour</w:t>
      </w:r>
      <w:r w:rsidR="003C12B4">
        <w:t xml:space="preserve"> and </w:t>
      </w:r>
      <w:r w:rsidR="006B3456">
        <w:t>contrast</w:t>
      </w:r>
      <w:r w:rsidR="00001DC1">
        <w:t xml:space="preserve"> </w:t>
      </w:r>
      <w:r w:rsidR="003C12B4">
        <w:t xml:space="preserve">requested </w:t>
      </w:r>
      <w:r w:rsidR="00E343C2">
        <w:t>by the applicant</w:t>
      </w:r>
      <w:r w:rsidR="00FC2F2D">
        <w:t>,</w:t>
      </w:r>
      <w:r w:rsidR="00E343C2">
        <w:t xml:space="preserve"> </w:t>
      </w:r>
      <w:r w:rsidR="003C12B4">
        <w:t xml:space="preserve">along with </w:t>
      </w:r>
      <w:r w:rsidR="00E343C2">
        <w:t xml:space="preserve">size of the </w:t>
      </w:r>
      <w:r w:rsidR="002C2AB8">
        <w:t>alternative</w:t>
      </w:r>
      <w:r w:rsidR="00FF5F93">
        <w:t xml:space="preserve"> </w:t>
      </w:r>
      <w:r w:rsidR="00E343C2">
        <w:t>pregnancy warning mark</w:t>
      </w:r>
      <w:r w:rsidR="00FC2F2D">
        <w:t>,</w:t>
      </w:r>
      <w:r w:rsidR="003C12B4">
        <w:t xml:space="preserve"> as discussed in section</w:t>
      </w:r>
      <w:r w:rsidR="00001DC1">
        <w:t xml:space="preserve"> 2.</w:t>
      </w:r>
      <w:r w:rsidR="006A35F5">
        <w:t>3</w:t>
      </w:r>
      <w:r w:rsidR="00001DC1">
        <w:t>.2.</w:t>
      </w:r>
    </w:p>
    <w:p w14:paraId="6059609E" w14:textId="264A49F8" w:rsidR="005873C5" w:rsidRDefault="00001DC1" w:rsidP="00001DC1">
      <w:pPr>
        <w:pStyle w:val="Heading3"/>
      </w:pPr>
      <w:r>
        <w:t>2.</w:t>
      </w:r>
      <w:r w:rsidR="005968ED">
        <w:t>3</w:t>
      </w:r>
      <w:r>
        <w:t>.2</w:t>
      </w:r>
      <w:r>
        <w:tab/>
      </w:r>
      <w:r w:rsidR="005873C5">
        <w:t>Colour</w:t>
      </w:r>
      <w:r w:rsidR="006B3456">
        <w:t>, contrast</w:t>
      </w:r>
      <w:r w:rsidR="005873C5">
        <w:t xml:space="preserve"> and size </w:t>
      </w:r>
    </w:p>
    <w:p w14:paraId="6780B38B" w14:textId="78D679FB" w:rsidR="00372D03" w:rsidRDefault="00001DC1" w:rsidP="005873C5">
      <w:r>
        <w:t>The</w:t>
      </w:r>
      <w:r w:rsidR="009335DA">
        <w:t xml:space="preserve"> applicant has requested </w:t>
      </w:r>
      <w:r>
        <w:t>the pregnancy warning mark</w:t>
      </w:r>
      <w:r w:rsidR="000934B6">
        <w:t xml:space="preserve"> </w:t>
      </w:r>
      <w:r w:rsidR="00FC2F2D">
        <w:t xml:space="preserve">for CC outer packages </w:t>
      </w:r>
      <w:r w:rsidR="000934B6">
        <w:t>be permitted in a single colour</w:t>
      </w:r>
      <w:r>
        <w:t xml:space="preserve"> </w:t>
      </w:r>
      <w:r w:rsidR="009335DA">
        <w:t>on a contrasting background (</w:t>
      </w:r>
      <w:r>
        <w:t>i.e.</w:t>
      </w:r>
      <w:r w:rsidR="009335DA">
        <w:t xml:space="preserve"> no colours prescribed)</w:t>
      </w:r>
      <w:r w:rsidR="00025EF0">
        <w:t xml:space="preserve">. </w:t>
      </w:r>
      <w:r w:rsidR="00CB217A">
        <w:t xml:space="preserve">As noted in section </w:t>
      </w:r>
      <w:r w:rsidR="008A2ED5">
        <w:t>2.2</w:t>
      </w:r>
      <w:r w:rsidR="00CB217A">
        <w:t xml:space="preserve">, the pregnancy warning </w:t>
      </w:r>
      <w:r w:rsidR="008A2ED5">
        <w:t xml:space="preserve">mark </w:t>
      </w:r>
      <w:r w:rsidR="00CB217A">
        <w:t>was designed in the context of design elements</w:t>
      </w:r>
      <w:r w:rsidR="006F64BA">
        <w:t xml:space="preserve"> (such as colour and contrast)</w:t>
      </w:r>
      <w:r w:rsidR="00CB217A">
        <w:t xml:space="preserve"> which serve to attract attention and enhance understanding of the label. The consumer evidence</w:t>
      </w:r>
      <w:r w:rsidR="005873C5">
        <w:t xml:space="preserve"> indicates that </w:t>
      </w:r>
      <w:r w:rsidR="00CB217A">
        <w:t>some colour combinations can</w:t>
      </w:r>
      <w:r w:rsidR="00A74BB8">
        <w:t xml:space="preserve"> produce contrast that is</w:t>
      </w:r>
      <w:r w:rsidR="00CB217A">
        <w:t xml:space="preserve"> difficult to read, and that the colour green can be confusing in the context of warnings. </w:t>
      </w:r>
      <w:r w:rsidR="00A74BB8">
        <w:t>Policy advice previously provided to FSANZ</w:t>
      </w:r>
      <w:r w:rsidR="00D0698B">
        <w:rPr>
          <w:rStyle w:val="FootnoteReference"/>
        </w:rPr>
        <w:footnoteReference w:id="12"/>
      </w:r>
      <w:r w:rsidR="00A74BB8">
        <w:t xml:space="preserve"> also noted that the colour green should not be used due to potential confusion. </w:t>
      </w:r>
      <w:r w:rsidR="009C2127">
        <w:t>While</w:t>
      </w:r>
      <w:r w:rsidR="00372D03">
        <w:t xml:space="preserve"> FSANZ agrees that a single colour on a contrasting background will help to resolve the current misalignment issues, we consider it appropriate to prescribe </w:t>
      </w:r>
      <w:r w:rsidR="00372D03" w:rsidDel="00853AC7">
        <w:t xml:space="preserve">the </w:t>
      </w:r>
      <w:r w:rsidR="00372D03">
        <w:t xml:space="preserve">single colour </w:t>
      </w:r>
      <w:r w:rsidR="00856488">
        <w:t xml:space="preserve">and </w:t>
      </w:r>
      <w:r w:rsidR="008B60EA">
        <w:t xml:space="preserve">the </w:t>
      </w:r>
      <w:r w:rsidR="00856488">
        <w:t>background</w:t>
      </w:r>
      <w:r w:rsidR="008B60EA">
        <w:t xml:space="preserve"> colour</w:t>
      </w:r>
      <w:r w:rsidR="00372D03">
        <w:t xml:space="preserve"> to ensure</w:t>
      </w:r>
      <w:r w:rsidR="00C36B16">
        <w:t xml:space="preserve"> </w:t>
      </w:r>
      <w:r w:rsidR="00372D03">
        <w:t xml:space="preserve">legibility </w:t>
      </w:r>
      <w:r w:rsidR="00C36B16">
        <w:t>and noticeability</w:t>
      </w:r>
      <w:r w:rsidR="00E63AD4">
        <w:t xml:space="preserve"> and </w:t>
      </w:r>
      <w:r w:rsidR="006337F9">
        <w:t>prevent consumer confusion</w:t>
      </w:r>
      <w:r w:rsidR="00C36B16">
        <w:t>.</w:t>
      </w:r>
    </w:p>
    <w:p w14:paraId="5EC82748" w14:textId="77777777" w:rsidR="00372D03" w:rsidRDefault="00372D03" w:rsidP="005873C5"/>
    <w:p w14:paraId="3F7E497E" w14:textId="4E2F2FC0" w:rsidR="00903950" w:rsidRDefault="001F329D" w:rsidP="00372D03">
      <w:r>
        <w:t>FSANZ has considered whether the colour white should be prescribed for the background. H</w:t>
      </w:r>
      <w:r w:rsidR="00175D92">
        <w:t>owever, as noted in section 2.1</w:t>
      </w:r>
      <w:r>
        <w:t xml:space="preserve">, printing the colour white onto </w:t>
      </w:r>
      <w:r w:rsidR="00175D92">
        <w:t xml:space="preserve">kraft or recycled </w:t>
      </w:r>
      <w:r w:rsidR="00C51824">
        <w:t>CC</w:t>
      </w:r>
      <w:r>
        <w:t xml:space="preserve"> raises technical issues </w:t>
      </w:r>
      <w:r w:rsidR="009C2127">
        <w:t xml:space="preserve">of smudging or misalignment </w:t>
      </w:r>
      <w:r>
        <w:t xml:space="preserve">for some printers. </w:t>
      </w:r>
      <w:r w:rsidR="00175D92">
        <w:t xml:space="preserve">This could reduce the readability and effectiveness of the pregnancy warning mark. </w:t>
      </w:r>
      <w:r>
        <w:t xml:space="preserve">Prescribing white could </w:t>
      </w:r>
      <w:r w:rsidR="009C2127">
        <w:t xml:space="preserve">therefore </w:t>
      </w:r>
      <w:r>
        <w:t xml:space="preserve">force some manufacturers currently using kraft or recycled </w:t>
      </w:r>
      <w:r w:rsidR="001A217F">
        <w:t>CC</w:t>
      </w:r>
      <w:r>
        <w:t xml:space="preserve"> to change to a white outside liner</w:t>
      </w:r>
      <w:r w:rsidR="00903950">
        <w:t xml:space="preserve"> to meet the background requirements</w:t>
      </w:r>
      <w:r>
        <w:t xml:space="preserve">, meaning further costs would be incurred </w:t>
      </w:r>
      <w:r w:rsidR="00903950">
        <w:t>(</w:t>
      </w:r>
      <w:r w:rsidR="00153D4F">
        <w:t>according to printer estimates, the</w:t>
      </w:r>
      <w:r w:rsidR="00903950">
        <w:t xml:space="preserve"> white liner is </w:t>
      </w:r>
      <w:r w:rsidR="00153D4F">
        <w:t>30-</w:t>
      </w:r>
      <w:r w:rsidR="002A749C">
        <w:t>5</w:t>
      </w:r>
      <w:r w:rsidR="00153D4F">
        <w:t xml:space="preserve">0% </w:t>
      </w:r>
      <w:r w:rsidR="00903950">
        <w:t>more expensive than kraft</w:t>
      </w:r>
      <w:r w:rsidR="006A35F5">
        <w:t>,</w:t>
      </w:r>
      <w:r w:rsidR="00903950">
        <w:t xml:space="preserve"> </w:t>
      </w:r>
      <w:r w:rsidR="00153D4F">
        <w:t>and 60-90% more</w:t>
      </w:r>
      <w:r w:rsidR="00903950">
        <w:t xml:space="preserve"> expensive than recycled liners)</w:t>
      </w:r>
      <w:r>
        <w:t xml:space="preserve">. </w:t>
      </w:r>
      <w:r w:rsidR="009C2127">
        <w:t xml:space="preserve">FSANZ therefore proposes to require the background of the </w:t>
      </w:r>
      <w:r w:rsidR="002C2AB8">
        <w:t>alternative</w:t>
      </w:r>
      <w:r w:rsidR="008C16D5">
        <w:t xml:space="preserve"> </w:t>
      </w:r>
      <w:r w:rsidR="009C2127">
        <w:t xml:space="preserve">pregnancy warning mark to be the </w:t>
      </w:r>
      <w:r w:rsidR="006337F9">
        <w:t xml:space="preserve">same </w:t>
      </w:r>
      <w:r w:rsidR="009C2127">
        <w:t xml:space="preserve">colour </w:t>
      </w:r>
      <w:r w:rsidR="006337F9">
        <w:t>as</w:t>
      </w:r>
      <w:r w:rsidR="009C2127">
        <w:t xml:space="preserve"> the outside liner (i.e. either </w:t>
      </w:r>
      <w:r w:rsidR="001D02B3">
        <w:t>white,</w:t>
      </w:r>
      <w:r w:rsidR="009C2127">
        <w:t xml:space="preserve"> brown</w:t>
      </w:r>
      <w:r w:rsidR="00C02C19">
        <w:t xml:space="preserve"> or</w:t>
      </w:r>
      <w:r w:rsidR="009C2127">
        <w:t xml:space="preserve"> grey as described in section 2.1).</w:t>
      </w:r>
    </w:p>
    <w:p w14:paraId="32458118" w14:textId="77777777" w:rsidR="00903950" w:rsidRDefault="00903950" w:rsidP="00372D03"/>
    <w:p w14:paraId="051BC32A" w14:textId="1F79D6EE" w:rsidR="00195726" w:rsidRDefault="00372D03" w:rsidP="3A6E3176">
      <w:pPr>
        <w:rPr>
          <w:rStyle w:val="normaltextrun"/>
          <w:color w:val="000000"/>
        </w:rPr>
      </w:pPr>
      <w:r>
        <w:t xml:space="preserve">FSANZ </w:t>
      </w:r>
      <w:r w:rsidR="00EC1EDC">
        <w:t>proposes</w:t>
      </w:r>
      <w:r>
        <w:t xml:space="preserve"> </w:t>
      </w:r>
      <w:r w:rsidR="002E1D81">
        <w:t xml:space="preserve">to prescribe </w:t>
      </w:r>
      <w:r>
        <w:t xml:space="preserve">the single colour </w:t>
      </w:r>
      <w:r w:rsidR="002E1D81">
        <w:t xml:space="preserve">as </w:t>
      </w:r>
      <w:r>
        <w:t xml:space="preserve">black for the </w:t>
      </w:r>
      <w:r w:rsidR="00DC6EF2">
        <w:t xml:space="preserve">alternative </w:t>
      </w:r>
      <w:r>
        <w:t>pregnancy warning mark</w:t>
      </w:r>
      <w:r w:rsidR="001D02B3">
        <w:t xml:space="preserve"> on the background colour (white, brown or grey)</w:t>
      </w:r>
      <w:r w:rsidR="00196F72">
        <w:t xml:space="preserve">. This </w:t>
      </w:r>
      <w:r w:rsidR="002E1D81">
        <w:t>approach</w:t>
      </w:r>
      <w:r w:rsidR="00196F72">
        <w:t xml:space="preserve"> ensures </w:t>
      </w:r>
      <w:r w:rsidR="00576EB3">
        <w:t xml:space="preserve">consistency in </w:t>
      </w:r>
      <w:r w:rsidR="00196F72">
        <w:t xml:space="preserve">colour and contrast </w:t>
      </w:r>
      <w:r w:rsidR="00576EB3">
        <w:t xml:space="preserve">and </w:t>
      </w:r>
      <w:r w:rsidR="00196F72">
        <w:t xml:space="preserve">avoids colour combinations that are difficult to read (e.g. yellow on white) or confusing to consumers </w:t>
      </w:r>
      <w:r w:rsidR="00576EB3">
        <w:t>(e.g.</w:t>
      </w:r>
      <w:r w:rsidR="00196F72">
        <w:t xml:space="preserve"> green</w:t>
      </w:r>
      <w:r w:rsidR="00576EB3">
        <w:t>)</w:t>
      </w:r>
      <w:r w:rsidR="00196F72">
        <w:t xml:space="preserve">. </w:t>
      </w:r>
      <w:bookmarkStart w:id="56" w:name="_Hlk113184429"/>
      <w:r w:rsidR="00EC1EDC">
        <w:t>While</w:t>
      </w:r>
      <w:r>
        <w:t xml:space="preserve"> </w:t>
      </w:r>
      <w:r w:rsidR="00597668">
        <w:t xml:space="preserve">the colour </w:t>
      </w:r>
      <w:r>
        <w:t xml:space="preserve">red </w:t>
      </w:r>
      <w:r w:rsidR="00BA111F">
        <w:t>has advantages over black in regard to attention and recognition of a warning</w:t>
      </w:r>
      <w:r w:rsidR="00576EB3">
        <w:t xml:space="preserve"> and</w:t>
      </w:r>
      <w:r>
        <w:t xml:space="preserve"> would contrast well </w:t>
      </w:r>
      <w:r w:rsidR="009E1527">
        <w:t xml:space="preserve">with a </w:t>
      </w:r>
      <w:r w:rsidR="00543D39">
        <w:t>white</w:t>
      </w:r>
      <w:r w:rsidR="00CA60A5">
        <w:t xml:space="preserve"> outside liner</w:t>
      </w:r>
      <w:r>
        <w:t xml:space="preserve">, it </w:t>
      </w:r>
      <w:r w:rsidR="00D247F7">
        <w:t xml:space="preserve">may </w:t>
      </w:r>
      <w:r>
        <w:t xml:space="preserve">not contrast as well as </w:t>
      </w:r>
      <w:r w:rsidR="004C3B37">
        <w:t xml:space="preserve">the colour </w:t>
      </w:r>
      <w:r>
        <w:t xml:space="preserve">black </w:t>
      </w:r>
      <w:r w:rsidR="004C3B37">
        <w:t>when the</w:t>
      </w:r>
      <w:r>
        <w:t xml:space="preserve"> </w:t>
      </w:r>
      <w:r w:rsidR="00CA60A5">
        <w:t>outside liner</w:t>
      </w:r>
      <w:r w:rsidR="004C3B37">
        <w:t xml:space="preserve"> is brown or grey</w:t>
      </w:r>
      <w:r w:rsidR="00D247F7">
        <w:t xml:space="preserve"> </w:t>
      </w:r>
      <w:r w:rsidR="00576EB3">
        <w:t>(noting the specific shade of red is not prescribed)</w:t>
      </w:r>
      <w:r>
        <w:t xml:space="preserve">. </w:t>
      </w:r>
      <w:r w:rsidR="00CE76F6">
        <w:t xml:space="preserve">To be effective, the label has to be noticed and be legible. </w:t>
      </w:r>
      <w:r w:rsidR="00BA111F">
        <w:t>Consumer evidence indicates that legibility is reduced when the contrast between characters and the background is low</w:t>
      </w:r>
      <w:r w:rsidR="007E2C13">
        <w:t xml:space="preserve"> (section </w:t>
      </w:r>
      <w:r w:rsidR="001B604B">
        <w:t>2.2.2)</w:t>
      </w:r>
      <w:r w:rsidR="00BA111F">
        <w:t xml:space="preserve">. </w:t>
      </w:r>
      <w:r w:rsidR="00E84ED9">
        <w:t>The</w:t>
      </w:r>
      <w:r w:rsidR="001D02B3">
        <w:t xml:space="preserve"> colour black is therefore prescribed to ensure contrast against each of the three </w:t>
      </w:r>
      <w:r w:rsidR="00BA111F">
        <w:t xml:space="preserve">background </w:t>
      </w:r>
      <w:r w:rsidR="001D02B3">
        <w:t>colours</w:t>
      </w:r>
      <w:r w:rsidR="00BA111F">
        <w:t xml:space="preserve"> (white, brown or grey)</w:t>
      </w:r>
      <w:r w:rsidR="001D02B3">
        <w:t>.</w:t>
      </w:r>
      <w:r w:rsidR="00A07B3F">
        <w:t xml:space="preserve"> </w:t>
      </w:r>
      <w:bookmarkEnd w:id="56"/>
      <w:r w:rsidR="00BC66E1">
        <w:t>Given the circle</w:t>
      </w:r>
      <w:r w:rsidR="00C959EA">
        <w:t xml:space="preserve">, </w:t>
      </w:r>
      <w:r w:rsidR="00BC66E1">
        <w:t xml:space="preserve">strikethrough and the </w:t>
      </w:r>
      <w:r w:rsidR="00BC66E1" w:rsidRPr="3A6E3176">
        <w:rPr>
          <w:rStyle w:val="normaltextrun"/>
          <w:color w:val="000000" w:themeColor="text1"/>
        </w:rPr>
        <w:lastRenderedPageBreak/>
        <w:t xml:space="preserve">silhouette of the pregnant woman in the pictogram will </w:t>
      </w:r>
      <w:r w:rsidR="002F37B8" w:rsidRPr="3A6E3176">
        <w:rPr>
          <w:rStyle w:val="normaltextrun"/>
          <w:color w:val="000000" w:themeColor="text1"/>
        </w:rPr>
        <w:t>be</w:t>
      </w:r>
      <w:r w:rsidR="00BC66E1" w:rsidRPr="3A6E3176">
        <w:rPr>
          <w:rStyle w:val="normaltextrun"/>
          <w:color w:val="000000" w:themeColor="text1"/>
        </w:rPr>
        <w:t xml:space="preserve"> the single colour black, a clear space </w:t>
      </w:r>
      <w:r w:rsidR="00E84ED9" w:rsidRPr="3A6E3176">
        <w:rPr>
          <w:rStyle w:val="normaltextrun"/>
          <w:color w:val="000000" w:themeColor="text1"/>
        </w:rPr>
        <w:t>will be required to be</w:t>
      </w:r>
      <w:r w:rsidR="007A7F25" w:rsidRPr="3A6E3176">
        <w:rPr>
          <w:rStyle w:val="normaltextrun"/>
          <w:color w:val="000000" w:themeColor="text1"/>
        </w:rPr>
        <w:t xml:space="preserve"> displayed</w:t>
      </w:r>
      <w:r w:rsidR="00BC66E1" w:rsidRPr="3A6E3176">
        <w:rPr>
          <w:rStyle w:val="normaltextrun"/>
          <w:color w:val="000000" w:themeColor="text1"/>
        </w:rPr>
        <w:t xml:space="preserve"> either side of the strikethrough to ensure </w:t>
      </w:r>
      <w:r w:rsidR="00DD5DBE" w:rsidRPr="3A6E3176">
        <w:rPr>
          <w:rStyle w:val="normaltextrun"/>
          <w:color w:val="000000" w:themeColor="text1"/>
        </w:rPr>
        <w:t xml:space="preserve">both the strikethrough and </w:t>
      </w:r>
      <w:r w:rsidR="00462513" w:rsidRPr="3A6E3176">
        <w:rPr>
          <w:rStyle w:val="normaltextrun"/>
          <w:color w:val="000000" w:themeColor="text1"/>
        </w:rPr>
        <w:t xml:space="preserve">the silhouette </w:t>
      </w:r>
      <w:r w:rsidR="0070593C" w:rsidRPr="3A6E3176">
        <w:rPr>
          <w:rStyle w:val="normaltextrun"/>
          <w:color w:val="000000" w:themeColor="text1"/>
        </w:rPr>
        <w:t>are</w:t>
      </w:r>
      <w:r w:rsidR="00462513" w:rsidRPr="3A6E3176">
        <w:rPr>
          <w:rStyle w:val="normaltextrun"/>
          <w:color w:val="000000" w:themeColor="text1"/>
        </w:rPr>
        <w:t xml:space="preserve"> clearly</w:t>
      </w:r>
      <w:r w:rsidR="00935C8E" w:rsidRPr="3A6E3176">
        <w:rPr>
          <w:rStyle w:val="normaltextrun"/>
          <w:color w:val="000000" w:themeColor="text1"/>
        </w:rPr>
        <w:t xml:space="preserve"> legible</w:t>
      </w:r>
      <w:r w:rsidR="00462513" w:rsidRPr="3A6E3176">
        <w:rPr>
          <w:rStyle w:val="normaltextrun"/>
          <w:color w:val="000000" w:themeColor="text1"/>
        </w:rPr>
        <w:t xml:space="preserve"> </w:t>
      </w:r>
      <w:r w:rsidR="00BC66E1" w:rsidRPr="3A6E3176">
        <w:rPr>
          <w:rStyle w:val="normaltextrun"/>
          <w:color w:val="000000" w:themeColor="text1"/>
        </w:rPr>
        <w:t xml:space="preserve">(see </w:t>
      </w:r>
      <w:r w:rsidR="00314C4E" w:rsidRPr="3A6E3176">
        <w:rPr>
          <w:rStyle w:val="normaltextrun"/>
          <w:color w:val="000000" w:themeColor="text1"/>
        </w:rPr>
        <w:t xml:space="preserve">Figure 4 </w:t>
      </w:r>
      <w:r w:rsidR="00BC66E1" w:rsidRPr="3A6E3176">
        <w:rPr>
          <w:rStyle w:val="normaltextrun"/>
          <w:color w:val="000000" w:themeColor="text1"/>
        </w:rPr>
        <w:t xml:space="preserve">below). </w:t>
      </w:r>
      <w:r w:rsidR="00CE76F6">
        <w:t xml:space="preserve">The pictogram, signal words and statement of the pictogram otherwise remain the same to support consumer understanding of the pregnancy warning </w:t>
      </w:r>
      <w:r w:rsidR="00E967AF">
        <w:t>mark</w:t>
      </w:r>
      <w:r w:rsidR="00CE76F6">
        <w:t>.</w:t>
      </w:r>
    </w:p>
    <w:p w14:paraId="641466FD" w14:textId="5C083611" w:rsidR="007A7F25" w:rsidRDefault="007A7F25" w:rsidP="00195726">
      <w:pPr>
        <w:rPr>
          <w:rStyle w:val="normaltextrun"/>
          <w:color w:val="000000"/>
          <w:szCs w:val="22"/>
        </w:rPr>
      </w:pPr>
    </w:p>
    <w:p w14:paraId="420F0CA2" w14:textId="3A5E8C6E" w:rsidR="007A7F25" w:rsidRDefault="007A7F25" w:rsidP="007A7F25">
      <w:pPr>
        <w:jc w:val="center"/>
        <w:rPr>
          <w:rStyle w:val="normaltextrun"/>
          <w:color w:val="000000"/>
          <w:szCs w:val="22"/>
        </w:rPr>
      </w:pPr>
      <w:r>
        <w:rPr>
          <w:noProof/>
          <w:lang w:eastAsia="en-GB" w:bidi="ar-SA"/>
        </w:rPr>
        <w:drawing>
          <wp:inline distT="0" distB="0" distL="0" distR="0" wp14:anchorId="583E34A5" wp14:editId="6576923A">
            <wp:extent cx="2655417" cy="68580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75161" cy="690899"/>
                    </a:xfrm>
                    <a:prstGeom prst="rect">
                      <a:avLst/>
                    </a:prstGeom>
                    <a:noFill/>
                    <a:ln>
                      <a:noFill/>
                    </a:ln>
                  </pic:spPr>
                </pic:pic>
              </a:graphicData>
            </a:graphic>
          </wp:inline>
        </w:drawing>
      </w:r>
    </w:p>
    <w:p w14:paraId="6C61721F" w14:textId="6E7017D8" w:rsidR="005873C5" w:rsidRDefault="005873C5" w:rsidP="005873C5">
      <w:pPr>
        <w:rPr>
          <w:rStyle w:val="normaltextrun"/>
          <w:color w:val="000000"/>
          <w:szCs w:val="22"/>
        </w:rPr>
      </w:pPr>
    </w:p>
    <w:p w14:paraId="65B7B4AD" w14:textId="2A17ED68" w:rsidR="007A7F25" w:rsidRDefault="0070593C" w:rsidP="007A7F25">
      <w:pPr>
        <w:tabs>
          <w:tab w:val="num" w:pos="567"/>
        </w:tabs>
        <w:jc w:val="center"/>
        <w:rPr>
          <w:rFonts w:cs="Arial"/>
        </w:rPr>
      </w:pPr>
      <w:r>
        <w:rPr>
          <w:rFonts w:cs="Arial"/>
        </w:rPr>
        <w:t>Figure 4</w:t>
      </w:r>
      <w:r w:rsidR="007A7F25">
        <w:rPr>
          <w:rFonts w:cs="Arial"/>
        </w:rPr>
        <w:t xml:space="preserve">: Proposed colour of </w:t>
      </w:r>
      <w:r w:rsidR="00C75927">
        <w:rPr>
          <w:rFonts w:cs="Arial"/>
        </w:rPr>
        <w:t xml:space="preserve">text, pictogram and border of the </w:t>
      </w:r>
      <w:r w:rsidR="000D6FB9">
        <w:rPr>
          <w:rFonts w:cs="Arial"/>
        </w:rPr>
        <w:t>alternative</w:t>
      </w:r>
      <w:r w:rsidR="008C16D5">
        <w:rPr>
          <w:rFonts w:cs="Arial"/>
        </w:rPr>
        <w:t xml:space="preserve"> </w:t>
      </w:r>
      <w:r w:rsidR="007A7F25">
        <w:rPr>
          <w:rFonts w:cs="Arial"/>
        </w:rPr>
        <w:t>pregnancy warning mark</w:t>
      </w:r>
    </w:p>
    <w:p w14:paraId="47A2A195" w14:textId="77777777" w:rsidR="007A7F25" w:rsidRDefault="007A7F25" w:rsidP="005873C5">
      <w:pPr>
        <w:rPr>
          <w:rStyle w:val="normaltextrun"/>
          <w:color w:val="000000"/>
          <w:szCs w:val="22"/>
        </w:rPr>
      </w:pPr>
    </w:p>
    <w:p w14:paraId="1C866F20" w14:textId="51E7BBB9" w:rsidR="002E646A" w:rsidRDefault="00CE76F6" w:rsidP="002E646A">
      <w:bookmarkStart w:id="57" w:name="_Hlk113184514"/>
      <w:r>
        <w:t xml:space="preserve">To offset reduced effectiveness from not having red in the </w:t>
      </w:r>
      <w:r w:rsidR="000F4290">
        <w:t xml:space="preserve">warning </w:t>
      </w:r>
      <w:r>
        <w:t xml:space="preserve">label, FSANZ proposes to increase the minimum size of the </w:t>
      </w:r>
      <w:r w:rsidR="0013697C">
        <w:t xml:space="preserve">pictogram and size of type of the </w:t>
      </w:r>
      <w:r w:rsidR="00D82126">
        <w:t xml:space="preserve">alternative </w:t>
      </w:r>
      <w:r>
        <w:t xml:space="preserve">pregnancy warning mark by around </w:t>
      </w:r>
      <w:r w:rsidRPr="00887DDD">
        <w:t>25</w:t>
      </w:r>
      <w:r>
        <w:t xml:space="preserve">%. </w:t>
      </w:r>
      <w:r w:rsidR="005941A9">
        <w:t xml:space="preserve">Consumer evidence indicates that multiple design elements can be used in varying combinations to enhance the noticeability of warning labels (e.g. a larger black and white label may be as noticeable as a smaller red warning). While red increases the attention and noticeability of warning labels, attracting attention can also be achieved through warning size. </w:t>
      </w:r>
      <w:bookmarkEnd w:id="57"/>
      <w:r w:rsidR="00F1403A">
        <w:t xml:space="preserve">In determining the increased size, FSANZ has taken into account the varying sizes of the </w:t>
      </w:r>
      <w:r w:rsidR="00C25FE1">
        <w:t>CC</w:t>
      </w:r>
      <w:r w:rsidR="00F1403A">
        <w:t xml:space="preserve"> outer packages label space. </w:t>
      </w:r>
      <w:r w:rsidR="002E646A">
        <w:t xml:space="preserve">The proposed </w:t>
      </w:r>
      <w:r w:rsidR="004F2EEA">
        <w:t xml:space="preserve">alternative </w:t>
      </w:r>
      <w:r w:rsidR="002E646A">
        <w:t xml:space="preserve">pregnancy warning mark size requirements against the existing size requirements </w:t>
      </w:r>
      <w:r w:rsidR="000655B3">
        <w:t>are</w:t>
      </w:r>
      <w:r w:rsidR="002E646A">
        <w:t xml:space="preserve"> set out in </w:t>
      </w:r>
      <w:r w:rsidR="002E646A" w:rsidRPr="00FB4DE0">
        <w:t xml:space="preserve">Table </w:t>
      </w:r>
      <w:r w:rsidR="003E08F8" w:rsidRPr="00FB4DE0">
        <w:t>1</w:t>
      </w:r>
      <w:r w:rsidR="002E646A" w:rsidRPr="00FB4DE0">
        <w:t xml:space="preserve"> below</w:t>
      </w:r>
      <w:r w:rsidR="002E646A">
        <w:t xml:space="preserve">.  </w:t>
      </w:r>
    </w:p>
    <w:p w14:paraId="1BCCB47B" w14:textId="77777777" w:rsidR="0017080D" w:rsidRDefault="0017080D" w:rsidP="002E646A"/>
    <w:p w14:paraId="048E184F" w14:textId="77777777" w:rsidR="0017080D" w:rsidRDefault="0017080D" w:rsidP="00DF3968">
      <w:r w:rsidRPr="006846E2">
        <w:rPr>
          <w:b/>
          <w:bCs/>
        </w:rPr>
        <w:t>Table 1:</w:t>
      </w:r>
      <w:r w:rsidRPr="0026308F">
        <w:t xml:space="preserve"> Existing and proposed </w:t>
      </w:r>
      <w:r>
        <w:t xml:space="preserve">minimum size </w:t>
      </w:r>
      <w:r w:rsidRPr="0026308F">
        <w:t>requirements for pregnancy warning mark</w:t>
      </w:r>
    </w:p>
    <w:p w14:paraId="07FE5BAD" w14:textId="77777777" w:rsidR="0024456D" w:rsidRDefault="0024456D" w:rsidP="00DF3968"/>
    <w:tbl>
      <w:tblPr>
        <w:tblStyle w:val="TableGrid"/>
        <w:tblW w:w="0" w:type="auto"/>
        <w:tblLook w:val="04A0" w:firstRow="1" w:lastRow="0" w:firstColumn="1" w:lastColumn="0" w:noHBand="0" w:noVBand="1"/>
      </w:tblPr>
      <w:tblGrid>
        <w:gridCol w:w="4530"/>
        <w:gridCol w:w="4530"/>
      </w:tblGrid>
      <w:tr w:rsidR="0024456D" w14:paraId="3BA2B3C0" w14:textId="77777777" w:rsidTr="0024456D">
        <w:tc>
          <w:tcPr>
            <w:tcW w:w="4530" w:type="dxa"/>
            <w:shd w:val="clear" w:color="auto" w:fill="D9D9D9" w:themeFill="background1" w:themeFillShade="D9"/>
          </w:tcPr>
          <w:p w14:paraId="48F8BE8E" w14:textId="6110CD18" w:rsidR="0024456D" w:rsidRDefault="0024456D" w:rsidP="00DF3968">
            <w:r>
              <w:rPr>
                <w:b/>
                <w:sz w:val="20"/>
                <w:szCs w:val="20"/>
              </w:rPr>
              <w:t>Existing minimum s</w:t>
            </w:r>
            <w:r w:rsidRPr="00BF7CA1">
              <w:rPr>
                <w:b/>
                <w:sz w:val="20"/>
                <w:szCs w:val="20"/>
              </w:rPr>
              <w:t>ize</w:t>
            </w:r>
            <w:r>
              <w:rPr>
                <w:b/>
                <w:sz w:val="20"/>
                <w:szCs w:val="20"/>
              </w:rPr>
              <w:t xml:space="preserve"> for pregnancy warning mark for outer package with more than one individual unit</w:t>
            </w:r>
          </w:p>
        </w:tc>
        <w:tc>
          <w:tcPr>
            <w:tcW w:w="4530" w:type="dxa"/>
            <w:shd w:val="clear" w:color="auto" w:fill="D9D9D9" w:themeFill="background1" w:themeFillShade="D9"/>
          </w:tcPr>
          <w:p w14:paraId="09B3391D" w14:textId="5B95A3F8" w:rsidR="0024456D" w:rsidRDefault="0024456D" w:rsidP="00D82126">
            <w:r>
              <w:rPr>
                <w:b/>
                <w:sz w:val="20"/>
                <w:szCs w:val="20"/>
              </w:rPr>
              <w:t xml:space="preserve">Proposed minimum size for </w:t>
            </w:r>
            <w:r w:rsidR="00D82126">
              <w:rPr>
                <w:b/>
                <w:sz w:val="20"/>
                <w:szCs w:val="20"/>
              </w:rPr>
              <w:t xml:space="preserve">alternative </w:t>
            </w:r>
            <w:r>
              <w:rPr>
                <w:b/>
                <w:sz w:val="20"/>
                <w:szCs w:val="20"/>
              </w:rPr>
              <w:t>pregnancy warning mark for post-printed CC outer package with more than one individual unit</w:t>
            </w:r>
          </w:p>
        </w:tc>
      </w:tr>
      <w:tr w:rsidR="0024456D" w:rsidRPr="0024456D" w14:paraId="18DAE4C6" w14:textId="77777777" w:rsidTr="0024456D">
        <w:tc>
          <w:tcPr>
            <w:tcW w:w="4530" w:type="dxa"/>
          </w:tcPr>
          <w:p w14:paraId="27FE8B97" w14:textId="77777777" w:rsidR="0024456D" w:rsidRPr="0024456D" w:rsidRDefault="0024456D" w:rsidP="0024456D">
            <w:pPr>
              <w:keepNext/>
              <w:widowControl/>
              <w:rPr>
                <w:sz w:val="20"/>
                <w:szCs w:val="20"/>
              </w:rPr>
            </w:pPr>
            <w:r w:rsidRPr="0024456D">
              <w:rPr>
                <w:sz w:val="20"/>
                <w:szCs w:val="20"/>
              </w:rPr>
              <w:t>Pictogram 11 mm diameter</w:t>
            </w:r>
          </w:p>
          <w:p w14:paraId="6B3DF1AD" w14:textId="77777777" w:rsidR="0024456D" w:rsidRPr="0024456D" w:rsidRDefault="0024456D" w:rsidP="0024456D">
            <w:pPr>
              <w:keepNext/>
              <w:widowControl/>
              <w:rPr>
                <w:sz w:val="20"/>
                <w:szCs w:val="20"/>
              </w:rPr>
            </w:pPr>
          </w:p>
          <w:p w14:paraId="426D612D" w14:textId="77777777" w:rsidR="0024456D" w:rsidRPr="0024456D" w:rsidRDefault="0024456D" w:rsidP="0024456D">
            <w:pPr>
              <w:keepNext/>
              <w:widowControl/>
              <w:rPr>
                <w:sz w:val="20"/>
                <w:szCs w:val="20"/>
              </w:rPr>
            </w:pPr>
            <w:r w:rsidRPr="0024456D">
              <w:rPr>
                <w:sz w:val="20"/>
                <w:szCs w:val="20"/>
              </w:rPr>
              <w:t>Size of type of the signal words 3.5 mm</w:t>
            </w:r>
          </w:p>
          <w:p w14:paraId="7935C167" w14:textId="77777777" w:rsidR="0024456D" w:rsidRPr="0024456D" w:rsidRDefault="0024456D" w:rsidP="0024456D">
            <w:pPr>
              <w:keepNext/>
              <w:widowControl/>
              <w:rPr>
                <w:sz w:val="20"/>
                <w:szCs w:val="20"/>
              </w:rPr>
            </w:pPr>
          </w:p>
          <w:p w14:paraId="1E498641" w14:textId="77777777" w:rsidR="0024456D" w:rsidRPr="0024456D" w:rsidRDefault="0024456D" w:rsidP="0024456D">
            <w:pPr>
              <w:keepNext/>
              <w:widowControl/>
              <w:rPr>
                <w:sz w:val="20"/>
                <w:szCs w:val="20"/>
              </w:rPr>
            </w:pPr>
            <w:r w:rsidRPr="0024456D">
              <w:rPr>
                <w:sz w:val="20"/>
                <w:szCs w:val="20"/>
              </w:rPr>
              <w:t>Size of type of the statement 2.7 mm</w:t>
            </w:r>
          </w:p>
          <w:p w14:paraId="6BD698A6" w14:textId="77777777" w:rsidR="0024456D" w:rsidRPr="0024456D" w:rsidRDefault="0024456D" w:rsidP="00DF3968">
            <w:pPr>
              <w:rPr>
                <w:sz w:val="20"/>
                <w:szCs w:val="20"/>
              </w:rPr>
            </w:pPr>
          </w:p>
        </w:tc>
        <w:tc>
          <w:tcPr>
            <w:tcW w:w="4530" w:type="dxa"/>
          </w:tcPr>
          <w:p w14:paraId="28CD7165" w14:textId="27A62372" w:rsidR="0024456D" w:rsidRPr="0024456D" w:rsidRDefault="0024456D" w:rsidP="0024456D">
            <w:pPr>
              <w:keepNext/>
              <w:widowControl/>
              <w:rPr>
                <w:sz w:val="20"/>
                <w:szCs w:val="20"/>
              </w:rPr>
            </w:pPr>
            <w:r w:rsidRPr="004F2EEA">
              <w:rPr>
                <w:sz w:val="20"/>
                <w:szCs w:val="20"/>
              </w:rPr>
              <w:t xml:space="preserve">Pictogram 14 mm </w:t>
            </w:r>
            <w:r w:rsidRPr="0024456D">
              <w:rPr>
                <w:sz w:val="20"/>
                <w:szCs w:val="20"/>
              </w:rPr>
              <w:t>diameter</w:t>
            </w:r>
          </w:p>
          <w:p w14:paraId="6C840721" w14:textId="77777777" w:rsidR="0024456D" w:rsidRPr="0024456D" w:rsidRDefault="0024456D" w:rsidP="0024456D">
            <w:pPr>
              <w:keepNext/>
              <w:widowControl/>
              <w:rPr>
                <w:sz w:val="20"/>
                <w:szCs w:val="20"/>
              </w:rPr>
            </w:pPr>
          </w:p>
          <w:p w14:paraId="20127C38" w14:textId="77777777" w:rsidR="0024456D" w:rsidRPr="0024456D" w:rsidRDefault="0024456D" w:rsidP="0024456D">
            <w:pPr>
              <w:keepNext/>
              <w:widowControl/>
              <w:rPr>
                <w:sz w:val="20"/>
                <w:szCs w:val="20"/>
              </w:rPr>
            </w:pPr>
            <w:r w:rsidRPr="0024456D">
              <w:rPr>
                <w:sz w:val="20"/>
                <w:szCs w:val="20"/>
              </w:rPr>
              <w:t>Size of type of the signal words 4.4 mm</w:t>
            </w:r>
          </w:p>
          <w:p w14:paraId="0034344F" w14:textId="77777777" w:rsidR="0024456D" w:rsidRPr="0024456D" w:rsidRDefault="0024456D" w:rsidP="0024456D">
            <w:pPr>
              <w:keepNext/>
              <w:widowControl/>
              <w:rPr>
                <w:sz w:val="20"/>
                <w:szCs w:val="20"/>
              </w:rPr>
            </w:pPr>
          </w:p>
          <w:p w14:paraId="22AB1896" w14:textId="6DC76482" w:rsidR="0024456D" w:rsidRPr="0024456D" w:rsidRDefault="0024456D" w:rsidP="0024456D">
            <w:pPr>
              <w:rPr>
                <w:sz w:val="20"/>
                <w:szCs w:val="20"/>
              </w:rPr>
            </w:pPr>
            <w:r w:rsidRPr="0024456D">
              <w:rPr>
                <w:sz w:val="20"/>
                <w:szCs w:val="20"/>
              </w:rPr>
              <w:t>Size of type of the statement 3.4 mm</w:t>
            </w:r>
          </w:p>
        </w:tc>
      </w:tr>
    </w:tbl>
    <w:p w14:paraId="4C9672BB" w14:textId="415CA42C" w:rsidR="008C0618" w:rsidRDefault="008C0618" w:rsidP="00821BD3"/>
    <w:p w14:paraId="57695604" w14:textId="71185A9D" w:rsidR="00001DC1" w:rsidRPr="00001DC1" w:rsidRDefault="00816075" w:rsidP="00816075">
      <w:pPr>
        <w:pStyle w:val="Heading3"/>
      </w:pPr>
      <w:r>
        <w:t>2.</w:t>
      </w:r>
      <w:r w:rsidR="005968ED">
        <w:t>3</w:t>
      </w:r>
      <w:r>
        <w:t>.3</w:t>
      </w:r>
      <w:r w:rsidR="009634D9">
        <w:tab/>
      </w:r>
      <w:r w:rsidR="00001DC1" w:rsidRPr="00001DC1">
        <w:t>Application</w:t>
      </w:r>
      <w:r w:rsidR="001E58F6">
        <w:t xml:space="preserve"> of pregnancy warning mark</w:t>
      </w:r>
    </w:p>
    <w:p w14:paraId="01C85AA6" w14:textId="1B227CB2" w:rsidR="002C2667" w:rsidRDefault="001852C9" w:rsidP="00001DC1">
      <w:r>
        <w:t xml:space="preserve">FSANZ proposes to limit the permitted use of the </w:t>
      </w:r>
      <w:r w:rsidR="00D82126">
        <w:t xml:space="preserve">alternative </w:t>
      </w:r>
      <w:r w:rsidR="00001DC1">
        <w:t xml:space="preserve">pregnancy warning mark </w:t>
      </w:r>
      <w:r>
        <w:t>to</w:t>
      </w:r>
      <w:r w:rsidR="002C2667">
        <w:t>:</w:t>
      </w:r>
    </w:p>
    <w:p w14:paraId="7841E264" w14:textId="77777777" w:rsidR="002C2667" w:rsidRDefault="002C2667" w:rsidP="00001DC1"/>
    <w:p w14:paraId="2460DD8B" w14:textId="3341E4E3" w:rsidR="002C2667" w:rsidRDefault="00520C4D" w:rsidP="00FA3085">
      <w:pPr>
        <w:pStyle w:val="ListParagraph"/>
        <w:numPr>
          <w:ilvl w:val="0"/>
          <w:numId w:val="6"/>
        </w:numPr>
        <w:ind w:left="567" w:hanging="567"/>
      </w:pPr>
      <w:r>
        <w:t>CC that is printed using the</w:t>
      </w:r>
      <w:r w:rsidR="00001DC1">
        <w:t xml:space="preserve"> post</w:t>
      </w:r>
      <w:r w:rsidR="0026308F">
        <w:t>-</w:t>
      </w:r>
      <w:r w:rsidR="00001DC1">
        <w:t xml:space="preserve">print (flexographic) </w:t>
      </w:r>
      <w:r w:rsidR="00DF38CA">
        <w:t xml:space="preserve">printing </w:t>
      </w:r>
      <w:r>
        <w:t>process</w:t>
      </w:r>
      <w:r w:rsidR="002C2667">
        <w:t>; and</w:t>
      </w:r>
    </w:p>
    <w:p w14:paraId="18D07F61" w14:textId="5498E92A" w:rsidR="00835313" w:rsidRDefault="002C2667" w:rsidP="00FA3085">
      <w:pPr>
        <w:pStyle w:val="ListParagraph"/>
        <w:numPr>
          <w:ilvl w:val="0"/>
          <w:numId w:val="6"/>
        </w:numPr>
        <w:ind w:left="567" w:hanging="567"/>
      </w:pPr>
      <w:r>
        <w:t>CC</w:t>
      </w:r>
      <w:r w:rsidR="00520C4D">
        <w:t xml:space="preserve"> </w:t>
      </w:r>
      <w:r w:rsidR="006645D1">
        <w:t>that is</w:t>
      </w:r>
      <w:r w:rsidR="00001DC1">
        <w:t xml:space="preserve"> used as an outer package </w:t>
      </w:r>
      <w:r w:rsidR="00A6538D">
        <w:t>for</w:t>
      </w:r>
      <w:r w:rsidR="00001DC1">
        <w:t xml:space="preserve"> </w:t>
      </w:r>
      <w:r w:rsidR="00982163">
        <w:t>more than one individual unit</w:t>
      </w:r>
      <w:r w:rsidR="00001DC1">
        <w:t xml:space="preserve">. </w:t>
      </w:r>
    </w:p>
    <w:p w14:paraId="5410B7E1" w14:textId="77777777" w:rsidR="00835313" w:rsidRDefault="00835313" w:rsidP="00835313"/>
    <w:p w14:paraId="3A6E527A" w14:textId="714CD697" w:rsidR="00240AD3" w:rsidRDefault="001852C9" w:rsidP="00835313">
      <w:r>
        <w:t xml:space="preserve">As discussed in </w:t>
      </w:r>
      <w:r w:rsidRPr="009B6FDE">
        <w:t>section 2.1, technical issues arise due to the post</w:t>
      </w:r>
      <w:r w:rsidR="00835313" w:rsidRPr="009B6FDE">
        <w:t>-</w:t>
      </w:r>
      <w:r w:rsidRPr="009B6FDE">
        <w:t xml:space="preserve">print process </w:t>
      </w:r>
      <w:r w:rsidR="008073B8" w:rsidRPr="009B6FDE">
        <w:t xml:space="preserve">used for </w:t>
      </w:r>
      <w:r w:rsidR="00835313" w:rsidRPr="009B6FDE">
        <w:t>CC</w:t>
      </w:r>
      <w:r w:rsidR="003237EC" w:rsidRPr="009B6FDE">
        <w:t xml:space="preserve"> (and </w:t>
      </w:r>
      <w:r w:rsidRPr="009B6FDE">
        <w:t>not other printing processes</w:t>
      </w:r>
      <w:r w:rsidR="003237EC">
        <w:t>)</w:t>
      </w:r>
      <w:r w:rsidR="0026308F">
        <w:t xml:space="preserve">. Also, </w:t>
      </w:r>
      <w:r w:rsidR="003237EC">
        <w:t>t</w:t>
      </w:r>
      <w:r w:rsidR="007175A1">
        <w:t>his</w:t>
      </w:r>
      <w:r>
        <w:t xml:space="preserve"> type of cardboard is primarily used as an outer package for </w:t>
      </w:r>
      <w:r w:rsidR="003237EC">
        <w:t xml:space="preserve">multiple </w:t>
      </w:r>
      <w:r w:rsidR="0026308F">
        <w:t xml:space="preserve">individual </w:t>
      </w:r>
      <w:r w:rsidR="003237EC">
        <w:t>units</w:t>
      </w:r>
      <w:r>
        <w:t xml:space="preserve"> of alcoholic beverages. </w:t>
      </w:r>
      <w:r w:rsidR="00C41E04">
        <w:t xml:space="preserve">While </w:t>
      </w:r>
      <w:r w:rsidR="0074269D">
        <w:t xml:space="preserve">it is possible </w:t>
      </w:r>
      <w:r w:rsidR="00C41E04">
        <w:t xml:space="preserve">producers </w:t>
      </w:r>
      <w:r w:rsidR="0074269D">
        <w:t xml:space="preserve">that are </w:t>
      </w:r>
      <w:r w:rsidR="00C41E04">
        <w:t xml:space="preserve">currently using non-CC outer packages could switch to a CC outer package to use the </w:t>
      </w:r>
      <w:r w:rsidR="00D82126">
        <w:t xml:space="preserve">alternative </w:t>
      </w:r>
      <w:r w:rsidR="00C41E04">
        <w:t>pregnancy warning mark, FSANZ considers</w:t>
      </w:r>
      <w:r w:rsidR="0074269D">
        <w:t xml:space="preserve"> this is unlikely to occur</w:t>
      </w:r>
      <w:r w:rsidR="00C41E04">
        <w:t xml:space="preserve">. The scope is limited to the post-print process which has </w:t>
      </w:r>
      <w:r w:rsidR="008E1781">
        <w:t>limited colour options (i.e. 3-</w:t>
      </w:r>
      <w:r w:rsidR="004C638A">
        <w:t>5</w:t>
      </w:r>
      <w:r w:rsidR="008E1781">
        <w:t xml:space="preserve"> colours maximum) and a lower quality printing finish compared </w:t>
      </w:r>
      <w:r w:rsidR="004C638A">
        <w:t>with</w:t>
      </w:r>
      <w:r w:rsidR="008E1781">
        <w:t xml:space="preserve"> other printing processes. As described by the applicant, producers have likely already decided to use non-CC outer packaging</w:t>
      </w:r>
      <w:r w:rsidR="00C42D1B">
        <w:t xml:space="preserve"> or a pre-print process for CC packaging</w:t>
      </w:r>
      <w:r w:rsidR="008E1781">
        <w:t xml:space="preserve"> to give a premium</w:t>
      </w:r>
      <w:r w:rsidR="004B763C">
        <w:t xml:space="preserve"> finish</w:t>
      </w:r>
      <w:r w:rsidR="0076264B">
        <w:t xml:space="preserve">. Further, CCs </w:t>
      </w:r>
      <w:r w:rsidR="008E1781">
        <w:lastRenderedPageBreak/>
        <w:t>add bulk to a product which wou</w:t>
      </w:r>
      <w:r w:rsidR="0076264B">
        <w:t xml:space="preserve">ld also </w:t>
      </w:r>
      <w:r w:rsidR="008E1781">
        <w:t>affect packaging lines, storage space and shelf space.</w:t>
      </w:r>
    </w:p>
    <w:p w14:paraId="7B1C40DF" w14:textId="77777777" w:rsidR="002765F1" w:rsidRDefault="002765F1" w:rsidP="00001DC1"/>
    <w:p w14:paraId="14664732" w14:textId="0DFC0EA8" w:rsidR="00001DC1" w:rsidRDefault="00001DC1" w:rsidP="00001DC1">
      <w:r>
        <w:t xml:space="preserve">The applicant </w:t>
      </w:r>
      <w:r w:rsidR="004B763C">
        <w:t xml:space="preserve">estimates </w:t>
      </w:r>
      <w:r w:rsidR="002101F7">
        <w:t xml:space="preserve">only a small percentage of </w:t>
      </w:r>
      <w:r w:rsidR="00FC4091">
        <w:t xml:space="preserve">beer and cider, wine and pre-mixed </w:t>
      </w:r>
      <w:r w:rsidR="002101F7">
        <w:t>product</w:t>
      </w:r>
      <w:r w:rsidR="00FC4091">
        <w:t>s</w:t>
      </w:r>
      <w:r w:rsidR="002101F7">
        <w:t xml:space="preserve"> </w:t>
      </w:r>
      <w:r w:rsidR="00D6502E">
        <w:t xml:space="preserve">are </w:t>
      </w:r>
      <w:r w:rsidR="002101F7">
        <w:t xml:space="preserve">in a CC outer package at the </w:t>
      </w:r>
      <w:r>
        <w:t xml:space="preserve">point of </w:t>
      </w:r>
      <w:r w:rsidR="004B763C">
        <w:t xml:space="preserve">retail </w:t>
      </w:r>
      <w:r>
        <w:t>sale</w:t>
      </w:r>
      <w:r w:rsidR="002101F7">
        <w:rPr>
          <w:rStyle w:val="FootnoteReference"/>
        </w:rPr>
        <w:footnoteReference w:id="13"/>
      </w:r>
      <w:r w:rsidR="00FF501B">
        <w:t xml:space="preserve"> </w:t>
      </w:r>
      <w:r w:rsidR="002101F7">
        <w:t>as</w:t>
      </w:r>
      <w:r w:rsidR="004B763C">
        <w:t xml:space="preserve"> </w:t>
      </w:r>
      <w:r w:rsidR="002101F7">
        <w:t>this package</w:t>
      </w:r>
      <w:r>
        <w:t xml:space="preserve"> </w:t>
      </w:r>
      <w:r w:rsidR="004B763C">
        <w:t xml:space="preserve">is </w:t>
      </w:r>
      <w:r>
        <w:t xml:space="preserve">typically removed prior to sale. </w:t>
      </w:r>
      <w:r w:rsidR="00743798">
        <w:t>In addition, t</w:t>
      </w:r>
      <w:r>
        <w:t>he labels of individual unit</w:t>
      </w:r>
      <w:r w:rsidR="002253DC">
        <w:t>s</w:t>
      </w:r>
      <w:r>
        <w:t xml:space="preserve"> contained inside the outer package </w:t>
      </w:r>
      <w:r w:rsidR="00233FCB">
        <w:t>will display</w:t>
      </w:r>
      <w:r>
        <w:t xml:space="preserve"> the existing three coloured pregnancy warning mark. Similarly, any other printing process used for </w:t>
      </w:r>
      <w:r w:rsidR="00A97A08">
        <w:t>CC</w:t>
      </w:r>
      <w:r>
        <w:t xml:space="preserve"> (e.g. pre</w:t>
      </w:r>
      <w:r w:rsidR="00A97A08">
        <w:t>-</w:t>
      </w:r>
      <w:r>
        <w:t xml:space="preserve">print or digital) and any other outer package material used (e.g. solid fibre board), </w:t>
      </w:r>
      <w:r w:rsidR="00233FCB">
        <w:t>will</w:t>
      </w:r>
      <w:r>
        <w:t xml:space="preserve"> continue to require the existing three coloured pregnancy warning mark. Consumers will therefore see the three coloured pregnancy warning </w:t>
      </w:r>
      <w:r w:rsidR="00816075">
        <w:t>mark</w:t>
      </w:r>
      <w:r>
        <w:t xml:space="preserve"> </w:t>
      </w:r>
      <w:r w:rsidR="00A747F0">
        <w:t xml:space="preserve">on the majority of prescribed alcoholic beverages </w:t>
      </w:r>
      <w:r w:rsidR="006803D4">
        <w:t xml:space="preserve">either at the </w:t>
      </w:r>
      <w:r>
        <w:t>point of retail sale</w:t>
      </w:r>
      <w:r w:rsidR="006803D4">
        <w:t>, or at the point of consumption</w:t>
      </w:r>
      <w:r w:rsidR="00A747F0">
        <w:t>.</w:t>
      </w:r>
      <w:r w:rsidR="00E17170">
        <w:t xml:space="preserve"> </w:t>
      </w:r>
      <w:r w:rsidR="00855145">
        <w:t xml:space="preserve">The impact and scope of the proposed amendment is therefore limited to a </w:t>
      </w:r>
      <w:r w:rsidR="00576ED8">
        <w:t xml:space="preserve">very </w:t>
      </w:r>
      <w:r w:rsidR="00855145">
        <w:t xml:space="preserve">small proportion of </w:t>
      </w:r>
      <w:r w:rsidR="0074269D">
        <w:t>packaging</w:t>
      </w:r>
      <w:r w:rsidR="006503E4">
        <w:t xml:space="preserve"> used for alcoholic beverages</w:t>
      </w:r>
      <w:r w:rsidR="00855145">
        <w:t>.</w:t>
      </w:r>
    </w:p>
    <w:p w14:paraId="6CDF09CF" w14:textId="3FAD6AD1" w:rsidR="00C80387" w:rsidRPr="00C80387" w:rsidRDefault="008C4B13" w:rsidP="009634D9">
      <w:pPr>
        <w:pStyle w:val="Heading3"/>
        <w:rPr>
          <w:b w:val="0"/>
          <w:bCs w:val="0"/>
        </w:rPr>
      </w:pPr>
      <w:r>
        <w:rPr>
          <w:noProof/>
          <w:lang w:eastAsia="en-GB"/>
        </w:rPr>
        <w:lastRenderedPageBreak/>
        <mc:AlternateContent>
          <mc:Choice Requires="wps">
            <w:drawing>
              <wp:anchor distT="45720" distB="45720" distL="114300" distR="114300" simplePos="0" relativeHeight="251658241" behindDoc="0" locked="0" layoutInCell="1" allowOverlap="1" wp14:anchorId="47CE07F0" wp14:editId="67C10C22">
                <wp:simplePos x="0" y="0"/>
                <wp:positionH relativeFrom="margin">
                  <wp:align>left</wp:align>
                </wp:positionH>
                <wp:positionV relativeFrom="paragraph">
                  <wp:posOffset>438785</wp:posOffset>
                </wp:positionV>
                <wp:extent cx="6086475" cy="7419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7419975"/>
                        </a:xfrm>
                        <a:prstGeom prst="rect">
                          <a:avLst/>
                        </a:prstGeom>
                        <a:solidFill>
                          <a:srgbClr val="FFFFFF"/>
                        </a:solidFill>
                        <a:ln w="9525">
                          <a:solidFill>
                            <a:srgbClr val="000000"/>
                          </a:solidFill>
                          <a:miter lim="800000"/>
                          <a:headEnd/>
                          <a:tailEnd/>
                        </a:ln>
                      </wps:spPr>
                      <wps:txbx>
                        <w:txbxContent>
                          <w:p w14:paraId="789E2D26" w14:textId="56B3E96C" w:rsidR="005A0B71" w:rsidRDefault="005A0B71" w:rsidP="00194A52">
                            <w:r>
                              <w:t>In summary, FSANZ proposes the following design and application for the alternative pregnancy warning mark.</w:t>
                            </w:r>
                          </w:p>
                          <w:p w14:paraId="67371558" w14:textId="77777777" w:rsidR="005A0B71" w:rsidRDefault="005A0B71" w:rsidP="00194A52"/>
                          <w:p w14:paraId="473ACBA0" w14:textId="77777777" w:rsidR="005A0B71" w:rsidRDefault="005A0B71" w:rsidP="00194A52">
                            <w:r>
                              <w:t>The following label elements are proposed:</w:t>
                            </w:r>
                          </w:p>
                          <w:p w14:paraId="35A2A03A" w14:textId="77777777" w:rsidR="005A0B71" w:rsidRDefault="005A0B71" w:rsidP="00194A52"/>
                          <w:p w14:paraId="3AE9A883" w14:textId="77777777" w:rsidR="005A0B71" w:rsidRDefault="005A0B71" w:rsidP="00194A52">
                            <w:pPr>
                              <w:jc w:val="center"/>
                            </w:pPr>
                            <w:r>
                              <w:rPr>
                                <w:noProof/>
                                <w:lang w:eastAsia="en-GB" w:bidi="ar-SA"/>
                              </w:rPr>
                              <w:drawing>
                                <wp:inline distT="0" distB="0" distL="0" distR="0" wp14:anchorId="38402245" wp14:editId="0F6F8BA8">
                                  <wp:extent cx="2655417" cy="685800"/>
                                  <wp:effectExtent l="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75161" cy="690899"/>
                                          </a:xfrm>
                                          <a:prstGeom prst="rect">
                                            <a:avLst/>
                                          </a:prstGeom>
                                          <a:noFill/>
                                          <a:ln>
                                            <a:noFill/>
                                          </a:ln>
                                        </pic:spPr>
                                      </pic:pic>
                                    </a:graphicData>
                                  </a:graphic>
                                </wp:inline>
                              </w:drawing>
                            </w:r>
                          </w:p>
                          <w:p w14:paraId="30F28275" w14:textId="77777777" w:rsidR="005A0B71" w:rsidRDefault="005A0B71" w:rsidP="00194A52"/>
                          <w:p w14:paraId="62838650" w14:textId="21DD2215" w:rsidR="005A0B71" w:rsidRPr="00FF7FF7" w:rsidRDefault="005A0B71" w:rsidP="00194A52">
                            <w:pPr>
                              <w:pStyle w:val="FSBullet1"/>
                            </w:pPr>
                            <w:r w:rsidRPr="00FF7FF7">
                              <w:rPr>
                                <w:rStyle w:val="normaltextrun"/>
                                <w:color w:val="000000"/>
                                <w:szCs w:val="22"/>
                              </w:rPr>
                              <w:t>The background of the pregnancy warning mark must be the same colour as the CC outside liner (i.e. kraft brown, recycled brown</w:t>
                            </w:r>
                            <w:r>
                              <w:rPr>
                                <w:rStyle w:val="normaltextrun"/>
                                <w:color w:val="000000"/>
                                <w:szCs w:val="22"/>
                              </w:rPr>
                              <w:t xml:space="preserve"> or </w:t>
                            </w:r>
                            <w:r w:rsidRPr="00FF7FF7">
                              <w:rPr>
                                <w:rStyle w:val="normaltextrun"/>
                                <w:color w:val="000000"/>
                                <w:szCs w:val="22"/>
                              </w:rPr>
                              <w:t>grey, or white).</w:t>
                            </w:r>
                            <w:r w:rsidRPr="00FF7FF7">
                              <w:rPr>
                                <w:rStyle w:val="eop"/>
                                <w:color w:val="000000"/>
                                <w:szCs w:val="22"/>
                              </w:rPr>
                              <w:t> </w:t>
                            </w:r>
                          </w:p>
                          <w:p w14:paraId="6AC493A9" w14:textId="77777777" w:rsidR="005A0B71" w:rsidRDefault="005A0B71" w:rsidP="00194A52">
                            <w:pPr>
                              <w:pStyle w:val="FSBullet1"/>
                              <w:rPr>
                                <w:rStyle w:val="eop"/>
                                <w:color w:val="000000"/>
                                <w:szCs w:val="22"/>
                              </w:rPr>
                            </w:pPr>
                            <w:r w:rsidRPr="00D46391">
                              <w:rPr>
                                <w:rStyle w:val="normaltextrun"/>
                                <w:color w:val="000000"/>
                                <w:szCs w:val="22"/>
                              </w:rPr>
                              <w:t xml:space="preserve">The circle and strikethrough of the pictogram must be in the colour </w:t>
                            </w:r>
                            <w:r>
                              <w:rPr>
                                <w:rStyle w:val="normaltextrun"/>
                                <w:color w:val="000000"/>
                                <w:szCs w:val="22"/>
                              </w:rPr>
                              <w:t>black</w:t>
                            </w:r>
                            <w:r w:rsidRPr="00D46391">
                              <w:rPr>
                                <w:rStyle w:val="normaltextrun"/>
                                <w:color w:val="000000"/>
                                <w:szCs w:val="22"/>
                              </w:rPr>
                              <w:t>.</w:t>
                            </w:r>
                            <w:r w:rsidRPr="00D46391">
                              <w:rPr>
                                <w:rStyle w:val="eop"/>
                                <w:color w:val="000000"/>
                                <w:szCs w:val="22"/>
                              </w:rPr>
                              <w:t> </w:t>
                            </w:r>
                          </w:p>
                          <w:p w14:paraId="1261AA1E" w14:textId="1830F97E" w:rsidR="005A0B71" w:rsidRPr="00F47CB9" w:rsidRDefault="005A0B71" w:rsidP="00194A52">
                            <w:pPr>
                              <w:pStyle w:val="FSBullet1"/>
                            </w:pPr>
                            <w:r w:rsidRPr="008C4B13">
                              <w:t>The strikethrough of the pictogram must be displayed with a clear space on either side of the strikethrough</w:t>
                            </w:r>
                            <w:r>
                              <w:t xml:space="preserve"> so both the strikethrough and silhouette of a pregnant woman are clearly legible. </w:t>
                            </w:r>
                          </w:p>
                          <w:p w14:paraId="47C7EDC8" w14:textId="29E01052" w:rsidR="005A0B71" w:rsidRDefault="005A0B71" w:rsidP="00194A52">
                            <w:pPr>
                              <w:pStyle w:val="FSBullet1"/>
                              <w:rPr>
                                <w:rStyle w:val="eop"/>
                                <w:color w:val="000000"/>
                                <w:szCs w:val="22"/>
                              </w:rPr>
                            </w:pPr>
                            <w:r w:rsidRPr="00D46391">
                              <w:rPr>
                                <w:rStyle w:val="normaltextrun"/>
                                <w:color w:val="000000"/>
                                <w:szCs w:val="22"/>
                              </w:rPr>
                              <w:t>The silhouette of a pregnant woman o</w:t>
                            </w:r>
                            <w:r>
                              <w:rPr>
                                <w:rStyle w:val="normaltextrun"/>
                                <w:color w:val="000000"/>
                                <w:szCs w:val="22"/>
                              </w:rPr>
                              <w:t>n</w:t>
                            </w:r>
                            <w:r w:rsidRPr="00D46391">
                              <w:rPr>
                                <w:rStyle w:val="normaltextrun"/>
                                <w:color w:val="000000"/>
                                <w:szCs w:val="22"/>
                              </w:rPr>
                              <w:t xml:space="preserve"> the pictogram must be in the colour black.</w:t>
                            </w:r>
                            <w:r w:rsidRPr="00D46391">
                              <w:rPr>
                                <w:rStyle w:val="eop"/>
                                <w:color w:val="000000"/>
                                <w:szCs w:val="22"/>
                              </w:rPr>
                              <w:t> </w:t>
                            </w:r>
                          </w:p>
                          <w:p w14:paraId="5BF9E3ED" w14:textId="77777777" w:rsidR="005A0B71" w:rsidRPr="00D46391" w:rsidRDefault="005A0B71" w:rsidP="00194A52">
                            <w:pPr>
                              <w:pStyle w:val="FSBullet1"/>
                            </w:pPr>
                            <w:r w:rsidRPr="00D46391">
                              <w:rPr>
                                <w:rStyle w:val="normaltextrun"/>
                                <w:color w:val="000000"/>
                                <w:szCs w:val="22"/>
                              </w:rPr>
                              <w:t>The signal words ‘PREGNANCY WA</w:t>
                            </w:r>
                            <w:r>
                              <w:rPr>
                                <w:rStyle w:val="normaltextrun"/>
                                <w:color w:val="000000"/>
                                <w:szCs w:val="22"/>
                              </w:rPr>
                              <w:t>RNING’ must be in the colour black</w:t>
                            </w:r>
                            <w:r w:rsidRPr="00D46391">
                              <w:rPr>
                                <w:rStyle w:val="normaltextrun"/>
                                <w:color w:val="000000"/>
                                <w:szCs w:val="22"/>
                              </w:rPr>
                              <w:t>.</w:t>
                            </w:r>
                            <w:r w:rsidRPr="00D46391">
                              <w:rPr>
                                <w:rStyle w:val="eop"/>
                                <w:color w:val="000000"/>
                                <w:szCs w:val="22"/>
                              </w:rPr>
                              <w:t> </w:t>
                            </w:r>
                          </w:p>
                          <w:p w14:paraId="1CA9E5DF" w14:textId="77777777" w:rsidR="005A0B71" w:rsidRPr="00D46391" w:rsidRDefault="005A0B71" w:rsidP="00194A52">
                            <w:pPr>
                              <w:pStyle w:val="FSBullet1"/>
                            </w:pPr>
                            <w:r w:rsidRPr="00D46391">
                              <w:rPr>
                                <w:rStyle w:val="normaltextrun"/>
                                <w:color w:val="000000"/>
                                <w:szCs w:val="22"/>
                              </w:rPr>
                              <w:t>The statement ‘</w:t>
                            </w:r>
                            <w:r w:rsidRPr="00D46391">
                              <w:rPr>
                                <w:rStyle w:val="normaltextrun"/>
                                <w:color w:val="000000"/>
                                <w:szCs w:val="22"/>
                                <w:shd w:val="clear" w:color="auto" w:fill="FFFFFF"/>
                              </w:rPr>
                              <w:t>Alcohol can cause lifelong harm to your baby’</w:t>
                            </w:r>
                            <w:r w:rsidRPr="00D46391">
                              <w:rPr>
                                <w:rStyle w:val="normaltextrun"/>
                                <w:color w:val="000000"/>
                                <w:szCs w:val="22"/>
                              </w:rPr>
                              <w:t xml:space="preserve"> must be in the colour black.</w:t>
                            </w:r>
                            <w:r w:rsidRPr="00D46391">
                              <w:rPr>
                                <w:rStyle w:val="eop"/>
                                <w:color w:val="000000"/>
                                <w:szCs w:val="22"/>
                              </w:rPr>
                              <w:t> </w:t>
                            </w:r>
                          </w:p>
                          <w:p w14:paraId="3CE46FA2" w14:textId="2D64380E" w:rsidR="005A0B71" w:rsidRDefault="005A0B71" w:rsidP="00194A52">
                            <w:pPr>
                              <w:pStyle w:val="FSBullet1"/>
                              <w:rPr>
                                <w:rStyle w:val="eop"/>
                                <w:color w:val="000000"/>
                                <w:szCs w:val="22"/>
                              </w:rPr>
                            </w:pPr>
                            <w:r w:rsidRPr="00D46391">
                              <w:rPr>
                                <w:rStyle w:val="normaltextrun"/>
                                <w:color w:val="000000"/>
                                <w:szCs w:val="22"/>
                              </w:rPr>
                              <w:t xml:space="preserve">The border of the </w:t>
                            </w:r>
                            <w:r>
                              <w:rPr>
                                <w:rStyle w:val="normaltextrun"/>
                                <w:color w:val="000000"/>
                                <w:szCs w:val="22"/>
                              </w:rPr>
                              <w:t xml:space="preserve">pregnancy warning mark </w:t>
                            </w:r>
                            <w:r w:rsidRPr="00D46391">
                              <w:rPr>
                                <w:rStyle w:val="normaltextrun"/>
                                <w:color w:val="000000"/>
                                <w:szCs w:val="22"/>
                              </w:rPr>
                              <w:t>must be in the colour black.</w:t>
                            </w:r>
                            <w:r w:rsidRPr="00D46391">
                              <w:rPr>
                                <w:rStyle w:val="eop"/>
                                <w:color w:val="000000"/>
                                <w:szCs w:val="22"/>
                              </w:rPr>
                              <w:t> </w:t>
                            </w:r>
                          </w:p>
                          <w:p w14:paraId="229B689A" w14:textId="77777777" w:rsidR="005A0B71" w:rsidRDefault="005A0B71" w:rsidP="00194A52">
                            <w:pPr>
                              <w:rPr>
                                <w:lang w:bidi="ar-SA"/>
                              </w:rPr>
                            </w:pPr>
                          </w:p>
                          <w:p w14:paraId="3F08B21D" w14:textId="2EDB16DF" w:rsidR="005A0B71" w:rsidRPr="001C5D96" w:rsidRDefault="005A0B71" w:rsidP="00194A52">
                            <w:pPr>
                              <w:ind w:left="360"/>
                              <w:rPr>
                                <w:lang w:bidi="ar-SA"/>
                              </w:rPr>
                            </w:pPr>
                            <w:r>
                              <w:rPr>
                                <w:lang w:bidi="ar-SA"/>
                              </w:rPr>
                              <w:t xml:space="preserve">Note: The font type requirements for the pregnancy warning mark will be the same as those currently prescribed in </w:t>
                            </w:r>
                            <w:r>
                              <w:t xml:space="preserve">section 2.7.1—12 </w:t>
                            </w:r>
                            <w:r>
                              <w:rPr>
                                <w:lang w:bidi="ar-SA"/>
                              </w:rPr>
                              <w:t>(e.g. bold, capitalised or sentence case, etc.).</w:t>
                            </w:r>
                          </w:p>
                          <w:p w14:paraId="4BA5D807" w14:textId="77777777" w:rsidR="005A0B71" w:rsidRDefault="005A0B71" w:rsidP="00194A52"/>
                          <w:p w14:paraId="345D680C" w14:textId="77777777" w:rsidR="005A0B71" w:rsidRDefault="005A0B71" w:rsidP="00194A52">
                            <w:r>
                              <w:t>Minimum size requirements:</w:t>
                            </w:r>
                          </w:p>
                          <w:p w14:paraId="7E6D7696" w14:textId="77777777" w:rsidR="005A0B71" w:rsidRDefault="005A0B71" w:rsidP="00194A52"/>
                          <w:p w14:paraId="486B5DB7" w14:textId="6CB276A8" w:rsidR="005A0B71" w:rsidRDefault="005A0B71" w:rsidP="00194A52">
                            <w:pPr>
                              <w:pStyle w:val="FSBullet1"/>
                            </w:pPr>
                            <w:r w:rsidRPr="00FF7FF7">
                              <w:t xml:space="preserve">Pictogram 14 mm </w:t>
                            </w:r>
                            <w:r>
                              <w:t>diameter</w:t>
                            </w:r>
                          </w:p>
                          <w:p w14:paraId="59F70DD2" w14:textId="77777777" w:rsidR="005A0B71" w:rsidRDefault="005A0B71" w:rsidP="00194A52">
                            <w:pPr>
                              <w:pStyle w:val="FSBullet1"/>
                            </w:pPr>
                            <w:r>
                              <w:t>Size of type of the signal words 4.4 mm</w:t>
                            </w:r>
                          </w:p>
                          <w:p w14:paraId="75DA110B" w14:textId="77777777" w:rsidR="005A0B71" w:rsidRDefault="005A0B71" w:rsidP="00194A52">
                            <w:pPr>
                              <w:pStyle w:val="FSBullet1"/>
                            </w:pPr>
                            <w:r>
                              <w:t>Size of type of the statement 3.4 mm</w:t>
                            </w:r>
                          </w:p>
                          <w:p w14:paraId="49CCD871" w14:textId="77777777" w:rsidR="005A0B71" w:rsidRDefault="005A0B71" w:rsidP="00194A52">
                            <w:pPr>
                              <w:rPr>
                                <w:lang w:bidi="ar-SA"/>
                              </w:rPr>
                            </w:pPr>
                          </w:p>
                          <w:p w14:paraId="52985438" w14:textId="575F4E6E" w:rsidR="005A0B71" w:rsidRDefault="005A0B71" w:rsidP="00194A52">
                            <w:pPr>
                              <w:ind w:left="360"/>
                            </w:pPr>
                            <w:r>
                              <w:rPr>
                                <w:lang w:bidi="ar-SA"/>
                              </w:rPr>
                              <w:t xml:space="preserve">Note: There must be a </w:t>
                            </w:r>
                            <w:r>
                              <w:t>3 mm clear space outside the border of the pregnancy warning mark (the same as currently prescribed in section 2.7.1—12).</w:t>
                            </w:r>
                          </w:p>
                          <w:p w14:paraId="38E3DB22" w14:textId="77777777" w:rsidR="005A0B71" w:rsidRDefault="005A0B71" w:rsidP="00194A52"/>
                          <w:p w14:paraId="185A8BAF" w14:textId="1400515E" w:rsidR="005A0B71" w:rsidRDefault="005A0B71" w:rsidP="00194A52">
                            <w:r>
                              <w:t>Application of alternative pregnancy warning mark:</w:t>
                            </w:r>
                          </w:p>
                          <w:p w14:paraId="64AD745D" w14:textId="77777777" w:rsidR="005A0B71" w:rsidRDefault="005A0B71" w:rsidP="00194A52"/>
                          <w:p w14:paraId="6D561209" w14:textId="76471D63" w:rsidR="005A0B71" w:rsidRDefault="005A0B71" w:rsidP="00194A52">
                            <w:pPr>
                              <w:pStyle w:val="FSBullet1"/>
                            </w:pPr>
                            <w:r>
                              <w:t>The alternative pregnancy warning mark may only be used on CC outer packaging instead of the existing prescribed label when the:</w:t>
                            </w:r>
                          </w:p>
                          <w:p w14:paraId="19FEE5F2" w14:textId="0A18C407" w:rsidR="005A0B71" w:rsidRDefault="005A0B71" w:rsidP="00194A52">
                            <w:pPr>
                              <w:pStyle w:val="FSBullet2"/>
                            </w:pPr>
                            <w:r>
                              <w:t>pregnancy warning mark is printed on the CC using a post-print (flexographic) printing process; and</w:t>
                            </w:r>
                          </w:p>
                          <w:p w14:paraId="62C8465C" w14:textId="7E50A368" w:rsidR="005A0B71" w:rsidRDefault="005A0B71" w:rsidP="00194A52">
                            <w:pPr>
                              <w:pStyle w:val="FSBullet2"/>
                            </w:pPr>
                            <w:r>
                              <w:t>CC is used as an outer package for more than one individual unit of a prescribed alcoholic beverage.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47B55A8">
              <v:shape id="_x0000_s1027" style="position:absolute;left:0;text-align:left;margin-left:0;margin-top:34.55pt;width:479.25pt;height:584.2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lyEgIAACc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" w14:anchorId="47CE07F0">
                <v:textbox>
                  <w:txbxContent>
                    <w:p w:rsidR="005A0B71" w:rsidP="00194A52" w:rsidRDefault="005A0B71" w14:paraId="461140DC" w14:textId="56B3E96C">
                      <w:r>
                        <w:t>In summary, FSANZ proposes the following design and application for the alternative pregnancy warning mark.</w:t>
                      </w:r>
                    </w:p>
                    <w:p w:rsidR="005A0B71" w:rsidP="00194A52" w:rsidRDefault="005A0B71" w14:paraId="0A37501D" w14:textId="77777777"/>
                    <w:p w:rsidR="005A0B71" w:rsidP="00194A52" w:rsidRDefault="005A0B71" w14:paraId="028E9FFC" w14:textId="77777777">
                      <w:r>
                        <w:t>The following label elements are proposed:</w:t>
                      </w:r>
                    </w:p>
                    <w:p w:rsidR="005A0B71" w:rsidP="00194A52" w:rsidRDefault="005A0B71" w14:paraId="5DAB6C7B" w14:textId="77777777"/>
                    <w:p w:rsidR="005A0B71" w:rsidP="00194A52" w:rsidRDefault="005A0B71" w14:paraId="02EB378F" w14:textId="77777777">
                      <w:pPr>
                        <w:jc w:val="center"/>
                      </w:pPr>
                      <w:r>
                        <w:rPr>
                          <w:noProof/>
                          <w:lang w:eastAsia="en-GB" w:bidi="ar-SA"/>
                        </w:rPr>
                        <w:drawing>
                          <wp:inline distT="0" distB="0" distL="0" distR="0" wp14:anchorId="517A7D69" wp14:editId="0F6F8BA8">
                            <wp:extent cx="2655417" cy="685800"/>
                            <wp:effectExtent l="0" t="0" r="0" b="0"/>
                            <wp:docPr id="20487688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75161" cy="690899"/>
                                    </a:xfrm>
                                    <a:prstGeom prst="rect">
                                      <a:avLst/>
                                    </a:prstGeom>
                                    <a:noFill/>
                                    <a:ln>
                                      <a:noFill/>
                                    </a:ln>
                                  </pic:spPr>
                                </pic:pic>
                              </a:graphicData>
                            </a:graphic>
                          </wp:inline>
                        </w:drawing>
                      </w:r>
                    </w:p>
                    <w:p w:rsidR="005A0B71" w:rsidP="00194A52" w:rsidRDefault="005A0B71" w14:paraId="6A05A809" w14:textId="77777777"/>
                    <w:p w:rsidRPr="00FF7FF7" w:rsidR="005A0B71" w:rsidP="00194A52" w:rsidRDefault="005A0B71" w14:paraId="09BBDDAA" w14:textId="21DD2215">
                      <w:pPr>
                        <w:pStyle w:val="FSBullet1"/>
                      </w:pPr>
                      <w:r w:rsidRPr="00FF7FF7">
                        <w:rPr>
                          <w:rStyle w:val="normaltextrun"/>
                          <w:color w:val="000000"/>
                          <w:szCs w:val="22"/>
                        </w:rPr>
                        <w:t>The background of the pregnancy warning mark must be the same colour as the CC outside liner (i.e. kraft brown, recycled brown</w:t>
                      </w:r>
                      <w:r>
                        <w:rPr>
                          <w:rStyle w:val="normaltextrun"/>
                          <w:color w:val="000000"/>
                          <w:szCs w:val="22"/>
                        </w:rPr>
                        <w:t xml:space="preserve"> or </w:t>
                      </w:r>
                      <w:r w:rsidRPr="00FF7FF7">
                        <w:rPr>
                          <w:rStyle w:val="normaltextrun"/>
                          <w:color w:val="000000"/>
                          <w:szCs w:val="22"/>
                        </w:rPr>
                        <w:t>grey, or white).</w:t>
                      </w:r>
                      <w:r w:rsidRPr="00FF7FF7">
                        <w:rPr>
                          <w:rStyle w:val="eop"/>
                          <w:color w:val="000000"/>
                          <w:szCs w:val="22"/>
                        </w:rPr>
                        <w:t> </w:t>
                      </w:r>
                    </w:p>
                    <w:p w:rsidR="005A0B71" w:rsidP="00194A52" w:rsidRDefault="005A0B71" w14:paraId="42C6E6DF" w14:textId="77777777">
                      <w:pPr>
                        <w:pStyle w:val="FSBullet1"/>
                        <w:rPr>
                          <w:rStyle w:val="eop"/>
                          <w:color w:val="000000"/>
                          <w:szCs w:val="22"/>
                        </w:rPr>
                      </w:pPr>
                      <w:r w:rsidRPr="00D46391">
                        <w:rPr>
                          <w:rStyle w:val="normaltextrun"/>
                          <w:color w:val="000000"/>
                          <w:szCs w:val="22"/>
                        </w:rPr>
                        <w:t xml:space="preserve">The circle and strikethrough of the pictogram must be in the colour </w:t>
                      </w:r>
                      <w:r>
                        <w:rPr>
                          <w:rStyle w:val="normaltextrun"/>
                          <w:color w:val="000000"/>
                          <w:szCs w:val="22"/>
                        </w:rPr>
                        <w:t>black</w:t>
                      </w:r>
                      <w:r w:rsidRPr="00D46391">
                        <w:rPr>
                          <w:rStyle w:val="normaltextrun"/>
                          <w:color w:val="000000"/>
                          <w:szCs w:val="22"/>
                        </w:rPr>
                        <w:t>.</w:t>
                      </w:r>
                      <w:r w:rsidRPr="00D46391">
                        <w:rPr>
                          <w:rStyle w:val="eop"/>
                          <w:color w:val="000000"/>
                          <w:szCs w:val="22"/>
                        </w:rPr>
                        <w:t> </w:t>
                      </w:r>
                    </w:p>
                    <w:p w:rsidRPr="00F47CB9" w:rsidR="005A0B71" w:rsidP="00194A52" w:rsidRDefault="005A0B71" w14:paraId="1C906B71" w14:textId="1830F97E">
                      <w:pPr>
                        <w:pStyle w:val="FSBullet1"/>
                      </w:pPr>
                      <w:r w:rsidRPr="008C4B13">
                        <w:t>The strikethrough of the pictogram must be displayed with a clear space on either side of the strikethrough</w:t>
                      </w:r>
                      <w:r>
                        <w:t xml:space="preserve"> so both the strikethrough and silhouette of a pregnant woman are clearly legible. </w:t>
                      </w:r>
                    </w:p>
                    <w:p w:rsidR="005A0B71" w:rsidP="00194A52" w:rsidRDefault="005A0B71" w14:paraId="33DE9048" w14:textId="29E01052">
                      <w:pPr>
                        <w:pStyle w:val="FSBullet1"/>
                        <w:rPr>
                          <w:rStyle w:val="eop"/>
                          <w:color w:val="000000"/>
                          <w:szCs w:val="22"/>
                        </w:rPr>
                      </w:pPr>
                      <w:r w:rsidRPr="00D46391">
                        <w:rPr>
                          <w:rStyle w:val="normaltextrun"/>
                          <w:color w:val="000000"/>
                          <w:szCs w:val="22"/>
                        </w:rPr>
                        <w:t>The silhouette of a pregnant woman o</w:t>
                      </w:r>
                      <w:r>
                        <w:rPr>
                          <w:rStyle w:val="normaltextrun"/>
                          <w:color w:val="000000"/>
                          <w:szCs w:val="22"/>
                        </w:rPr>
                        <w:t>n</w:t>
                      </w:r>
                      <w:r w:rsidRPr="00D46391">
                        <w:rPr>
                          <w:rStyle w:val="normaltextrun"/>
                          <w:color w:val="000000"/>
                          <w:szCs w:val="22"/>
                        </w:rPr>
                        <w:t xml:space="preserve"> the pictogram must be in the colour black.</w:t>
                      </w:r>
                      <w:r w:rsidRPr="00D46391">
                        <w:rPr>
                          <w:rStyle w:val="eop"/>
                          <w:color w:val="000000"/>
                          <w:szCs w:val="22"/>
                        </w:rPr>
                        <w:t> </w:t>
                      </w:r>
                    </w:p>
                    <w:p w:rsidRPr="00D46391" w:rsidR="005A0B71" w:rsidP="00194A52" w:rsidRDefault="005A0B71" w14:paraId="258515FB" w14:textId="77777777">
                      <w:pPr>
                        <w:pStyle w:val="FSBullet1"/>
                      </w:pPr>
                      <w:r w:rsidRPr="00D46391">
                        <w:rPr>
                          <w:rStyle w:val="normaltextrun"/>
                          <w:color w:val="000000"/>
                          <w:szCs w:val="22"/>
                        </w:rPr>
                        <w:t>The signal words ‘PREGNANCY WA</w:t>
                      </w:r>
                      <w:r>
                        <w:rPr>
                          <w:rStyle w:val="normaltextrun"/>
                          <w:color w:val="000000"/>
                          <w:szCs w:val="22"/>
                        </w:rPr>
                        <w:t>RNING’ must be in the colour black</w:t>
                      </w:r>
                      <w:r w:rsidRPr="00D46391">
                        <w:rPr>
                          <w:rStyle w:val="normaltextrun"/>
                          <w:color w:val="000000"/>
                          <w:szCs w:val="22"/>
                        </w:rPr>
                        <w:t>.</w:t>
                      </w:r>
                      <w:r w:rsidRPr="00D46391">
                        <w:rPr>
                          <w:rStyle w:val="eop"/>
                          <w:color w:val="000000"/>
                          <w:szCs w:val="22"/>
                        </w:rPr>
                        <w:t> </w:t>
                      </w:r>
                    </w:p>
                    <w:p w:rsidRPr="00D46391" w:rsidR="005A0B71" w:rsidP="00194A52" w:rsidRDefault="005A0B71" w14:paraId="4A855A1F" w14:textId="77777777">
                      <w:pPr>
                        <w:pStyle w:val="FSBullet1"/>
                      </w:pPr>
                      <w:r w:rsidRPr="00D46391">
                        <w:rPr>
                          <w:rStyle w:val="normaltextrun"/>
                          <w:color w:val="000000"/>
                          <w:szCs w:val="22"/>
                        </w:rPr>
                        <w:t>The statement ‘</w:t>
                      </w:r>
                      <w:r w:rsidRPr="00D46391">
                        <w:rPr>
                          <w:rStyle w:val="normaltextrun"/>
                          <w:color w:val="000000"/>
                          <w:szCs w:val="22"/>
                          <w:shd w:val="clear" w:color="auto" w:fill="FFFFFF"/>
                        </w:rPr>
                        <w:t>Alcohol can cause lifelong harm to your baby’</w:t>
                      </w:r>
                      <w:r w:rsidRPr="00D46391">
                        <w:rPr>
                          <w:rStyle w:val="normaltextrun"/>
                          <w:color w:val="000000"/>
                          <w:szCs w:val="22"/>
                        </w:rPr>
                        <w:t xml:space="preserve"> must be in the colour black.</w:t>
                      </w:r>
                      <w:r w:rsidRPr="00D46391">
                        <w:rPr>
                          <w:rStyle w:val="eop"/>
                          <w:color w:val="000000"/>
                          <w:szCs w:val="22"/>
                        </w:rPr>
                        <w:t> </w:t>
                      </w:r>
                    </w:p>
                    <w:p w:rsidR="005A0B71" w:rsidP="00194A52" w:rsidRDefault="005A0B71" w14:paraId="713F411E" w14:textId="2D64380E">
                      <w:pPr>
                        <w:pStyle w:val="FSBullet1"/>
                        <w:rPr>
                          <w:rStyle w:val="eop"/>
                          <w:color w:val="000000"/>
                          <w:szCs w:val="22"/>
                        </w:rPr>
                      </w:pPr>
                      <w:r w:rsidRPr="00D46391">
                        <w:rPr>
                          <w:rStyle w:val="normaltextrun"/>
                          <w:color w:val="000000"/>
                          <w:szCs w:val="22"/>
                        </w:rPr>
                        <w:t xml:space="preserve">The border of the </w:t>
                      </w:r>
                      <w:r>
                        <w:rPr>
                          <w:rStyle w:val="normaltextrun"/>
                          <w:color w:val="000000"/>
                          <w:szCs w:val="22"/>
                        </w:rPr>
                        <w:t xml:space="preserve">pregnancy warning mark </w:t>
                      </w:r>
                      <w:r w:rsidRPr="00D46391">
                        <w:rPr>
                          <w:rStyle w:val="normaltextrun"/>
                          <w:color w:val="000000"/>
                          <w:szCs w:val="22"/>
                        </w:rPr>
                        <w:t>must be in the colour black.</w:t>
                      </w:r>
                      <w:r w:rsidRPr="00D46391">
                        <w:rPr>
                          <w:rStyle w:val="eop"/>
                          <w:color w:val="000000"/>
                          <w:szCs w:val="22"/>
                        </w:rPr>
                        <w:t> </w:t>
                      </w:r>
                    </w:p>
                    <w:p w:rsidR="005A0B71" w:rsidP="00194A52" w:rsidRDefault="005A0B71" w14:paraId="5A39BBE3" w14:textId="77777777">
                      <w:pPr>
                        <w:rPr>
                          <w:lang w:bidi="ar-SA"/>
                        </w:rPr>
                      </w:pPr>
                    </w:p>
                    <w:p w:rsidRPr="001C5D96" w:rsidR="005A0B71" w:rsidP="00194A52" w:rsidRDefault="005A0B71" w14:paraId="05424FB6" w14:textId="2EDB16DF">
                      <w:pPr>
                        <w:ind w:left="360"/>
                        <w:rPr>
                          <w:lang w:bidi="ar-SA"/>
                        </w:rPr>
                      </w:pPr>
                      <w:r>
                        <w:rPr>
                          <w:lang w:bidi="ar-SA"/>
                        </w:rPr>
                        <w:t xml:space="preserve">Note: The font type requirements for the pregnancy warning mark will be the same as those currently prescribed in </w:t>
                      </w:r>
                      <w:r>
                        <w:t xml:space="preserve">section 2.7.1—12 </w:t>
                      </w:r>
                      <w:r>
                        <w:rPr>
                          <w:lang w:bidi="ar-SA"/>
                        </w:rPr>
                        <w:t>(e.g. bold, capitalised or sentence case, etc.).</w:t>
                      </w:r>
                    </w:p>
                    <w:p w:rsidR="005A0B71" w:rsidP="00194A52" w:rsidRDefault="005A0B71" w14:paraId="41C8F396" w14:textId="77777777"/>
                    <w:p w:rsidR="005A0B71" w:rsidP="00194A52" w:rsidRDefault="005A0B71" w14:paraId="2AA2D6C7" w14:textId="77777777">
                      <w:r>
                        <w:t>Minimum size requirements:</w:t>
                      </w:r>
                    </w:p>
                    <w:p w:rsidR="005A0B71" w:rsidP="00194A52" w:rsidRDefault="005A0B71" w14:paraId="72A3D3EC" w14:textId="77777777"/>
                    <w:p w:rsidR="005A0B71" w:rsidP="00194A52" w:rsidRDefault="005A0B71" w14:paraId="249818F9" w14:textId="6CB276A8">
                      <w:pPr>
                        <w:pStyle w:val="FSBullet1"/>
                      </w:pPr>
                      <w:r w:rsidRPr="00FF7FF7">
                        <w:t xml:space="preserve">Pictogram 14 mm </w:t>
                      </w:r>
                      <w:r>
                        <w:t>diameter</w:t>
                      </w:r>
                    </w:p>
                    <w:p w:rsidR="005A0B71" w:rsidP="00194A52" w:rsidRDefault="005A0B71" w14:paraId="3E15ED24" w14:textId="77777777">
                      <w:pPr>
                        <w:pStyle w:val="FSBullet1"/>
                      </w:pPr>
                      <w:r>
                        <w:t>Size of type of the signal words 4.4 mm</w:t>
                      </w:r>
                    </w:p>
                    <w:p w:rsidR="005A0B71" w:rsidP="00194A52" w:rsidRDefault="005A0B71" w14:paraId="6F6F136B" w14:textId="77777777">
                      <w:pPr>
                        <w:pStyle w:val="FSBullet1"/>
                      </w:pPr>
                      <w:r>
                        <w:t>Size of type of the statement 3.4 mm</w:t>
                      </w:r>
                    </w:p>
                    <w:p w:rsidR="005A0B71" w:rsidP="00194A52" w:rsidRDefault="005A0B71" w14:paraId="0D0B940D" w14:textId="77777777">
                      <w:pPr>
                        <w:rPr>
                          <w:lang w:bidi="ar-SA"/>
                        </w:rPr>
                      </w:pPr>
                    </w:p>
                    <w:p w:rsidR="005A0B71" w:rsidP="00194A52" w:rsidRDefault="005A0B71" w14:paraId="0373C6B2" w14:textId="575F4E6E">
                      <w:pPr>
                        <w:ind w:left="360"/>
                      </w:pPr>
                      <w:r>
                        <w:rPr>
                          <w:lang w:bidi="ar-SA"/>
                        </w:rPr>
                        <w:t xml:space="preserve">Note: There must be a </w:t>
                      </w:r>
                      <w:r>
                        <w:t>3 mm clear space outside the border of the pregnancy warning mark (the same as currently prescribed in section 2.7.1—12).</w:t>
                      </w:r>
                    </w:p>
                    <w:p w:rsidR="005A0B71" w:rsidP="00194A52" w:rsidRDefault="005A0B71" w14:paraId="0E27B00A" w14:textId="77777777"/>
                    <w:p w:rsidR="005A0B71" w:rsidP="00194A52" w:rsidRDefault="005A0B71" w14:paraId="6C268B4D" w14:textId="1400515E">
                      <w:r>
                        <w:t>Application of alternative pregnancy warning mark:</w:t>
                      </w:r>
                    </w:p>
                    <w:p w:rsidR="005A0B71" w:rsidP="00194A52" w:rsidRDefault="005A0B71" w14:paraId="60061E4C" w14:textId="77777777"/>
                    <w:p w:rsidR="005A0B71" w:rsidP="00194A52" w:rsidRDefault="005A0B71" w14:paraId="3E84B3FE" w14:textId="76471D63">
                      <w:pPr>
                        <w:pStyle w:val="FSBullet1"/>
                      </w:pPr>
                      <w:r>
                        <w:t>The alternative pregnancy warning mark may only be used on CC outer packaging instead of the existing prescribed label when the:</w:t>
                      </w:r>
                    </w:p>
                    <w:p w:rsidR="005A0B71" w:rsidP="00194A52" w:rsidRDefault="005A0B71" w14:paraId="6711A98B" w14:textId="0A18C407">
                      <w:pPr>
                        <w:pStyle w:val="FSBullet2"/>
                      </w:pPr>
                      <w:r>
                        <w:t>pregnancy warning mark is printed on the CC using a post-print (flexographic) printing process; and</w:t>
                      </w:r>
                    </w:p>
                    <w:p w:rsidR="005A0B71" w:rsidP="00194A52" w:rsidRDefault="005A0B71" w14:paraId="36B4FDE4" w14:textId="7E50A368">
                      <w:pPr>
                        <w:pStyle w:val="FSBullet2"/>
                      </w:pPr>
                      <w:r>
                        <w:t>CC is used as an outer package for more than one individual unit of a prescribed alcoholic beverage.</w:t>
                      </w:r>
                    </w:p>
                  </w:txbxContent>
                </v:textbox>
                <w10:wrap type="square" anchorx="margin"/>
              </v:shape>
            </w:pict>
          </mc:Fallback>
        </mc:AlternateContent>
      </w:r>
      <w:r w:rsidR="00E17170">
        <w:t>2.3.4</w:t>
      </w:r>
      <w:r w:rsidR="00E17170">
        <w:tab/>
      </w:r>
      <w:r>
        <w:t>Summary of proposed approach for the alternative pregnancy warning mark</w:t>
      </w:r>
    </w:p>
    <w:p w14:paraId="449918C9" w14:textId="77777777" w:rsidR="00E82833" w:rsidRPr="00E82833" w:rsidRDefault="00E82833" w:rsidP="00E82833">
      <w:pPr>
        <w:rPr>
          <w:lang w:bidi="ar-SA"/>
        </w:rPr>
      </w:pPr>
    </w:p>
    <w:p w14:paraId="24B171B6" w14:textId="4260CEFB" w:rsidR="00194A52" w:rsidRDefault="00194A52" w:rsidP="00E82833">
      <w:pPr>
        <w:rPr>
          <w:lang w:bidi="ar-SA"/>
        </w:rPr>
      </w:pPr>
    </w:p>
    <w:p w14:paraId="16F156C4" w14:textId="77777777" w:rsidR="00194A52" w:rsidRPr="00E82833" w:rsidRDefault="00194A52" w:rsidP="00E82833">
      <w:pPr>
        <w:rPr>
          <w:lang w:bidi="ar-SA"/>
        </w:rPr>
      </w:pPr>
    </w:p>
    <w:p w14:paraId="3F1B78C7" w14:textId="77777777" w:rsidR="00576ED8" w:rsidRDefault="00576ED8" w:rsidP="00576ED8"/>
    <w:p w14:paraId="586A4BB2" w14:textId="3CAFAA62" w:rsidR="00F73ADE" w:rsidRPr="000631F0" w:rsidRDefault="00F73ADE" w:rsidP="00F73ADE">
      <w:pPr>
        <w:pStyle w:val="Heading3"/>
        <w:spacing w:before="100" w:beforeAutospacing="1" w:after="100" w:afterAutospacing="1"/>
        <w:rPr>
          <w:rFonts w:cs="Arial"/>
          <w:sz w:val="24"/>
        </w:rPr>
      </w:pPr>
      <w:bookmarkStart w:id="58" w:name="_Toc25564246"/>
      <w:bookmarkStart w:id="59" w:name="_Toc89165191"/>
      <w:r w:rsidRPr="00874B4F">
        <w:rPr>
          <w:rFonts w:cs="Arial"/>
          <w:szCs w:val="22"/>
        </w:rPr>
        <w:lastRenderedPageBreak/>
        <w:t>2.</w:t>
      </w:r>
      <w:r w:rsidR="005968ED" w:rsidRPr="00874B4F">
        <w:rPr>
          <w:rFonts w:cs="Arial"/>
          <w:szCs w:val="22"/>
        </w:rPr>
        <w:t>3.4</w:t>
      </w:r>
      <w:r w:rsidRPr="000631F0">
        <w:rPr>
          <w:rFonts w:cs="Arial"/>
          <w:sz w:val="24"/>
        </w:rPr>
        <w:tab/>
        <w:t xml:space="preserve">Risk </w:t>
      </w:r>
      <w:r w:rsidRPr="00874B4F">
        <w:rPr>
          <w:rFonts w:cs="Arial"/>
          <w:szCs w:val="22"/>
        </w:rPr>
        <w:t>management</w:t>
      </w:r>
      <w:r w:rsidRPr="000631F0">
        <w:rPr>
          <w:rFonts w:cs="Arial"/>
          <w:sz w:val="24"/>
        </w:rPr>
        <w:t xml:space="preserve"> conclusion</w:t>
      </w:r>
      <w:bookmarkEnd w:id="58"/>
      <w:bookmarkEnd w:id="59"/>
    </w:p>
    <w:p w14:paraId="524B9F9D" w14:textId="34CCC994" w:rsidR="0003437A" w:rsidRDefault="00F73ADE" w:rsidP="00DD3C5E">
      <w:r>
        <w:t xml:space="preserve">Based on the above assessment and other considerations outlined in section </w:t>
      </w:r>
      <w:r w:rsidRPr="00E1470E">
        <w:t>2.</w:t>
      </w:r>
      <w:r w:rsidR="004E3E5B" w:rsidRPr="00E1470E">
        <w:t>5</w:t>
      </w:r>
      <w:r>
        <w:t xml:space="preserve"> below, FSANZ</w:t>
      </w:r>
      <w:r w:rsidR="0081389D">
        <w:t>’s proposed approach is to prepare a draft variation</w:t>
      </w:r>
      <w:r w:rsidR="0003437A">
        <w:t xml:space="preserve"> to </w:t>
      </w:r>
      <w:r w:rsidR="002765F1">
        <w:t>amend the pregnancy warning mark</w:t>
      </w:r>
      <w:r>
        <w:t xml:space="preserve"> requirements </w:t>
      </w:r>
      <w:r w:rsidR="00A15BF8">
        <w:t xml:space="preserve">only </w:t>
      </w:r>
      <w:r w:rsidR="00576ED8">
        <w:t>when the</w:t>
      </w:r>
      <w:r>
        <w:t xml:space="preserve"> </w:t>
      </w:r>
      <w:r w:rsidR="002765F1">
        <w:t>post</w:t>
      </w:r>
      <w:r w:rsidR="00576ED8">
        <w:t>-</w:t>
      </w:r>
      <w:r w:rsidR="0092490E">
        <w:t>print</w:t>
      </w:r>
      <w:r w:rsidR="00576ED8">
        <w:t xml:space="preserve"> printing process is used on</w:t>
      </w:r>
      <w:r w:rsidR="0092490E">
        <w:t xml:space="preserve"> </w:t>
      </w:r>
      <w:r w:rsidR="00576ED8">
        <w:t>CC</w:t>
      </w:r>
      <w:r>
        <w:t xml:space="preserve"> outer packages</w:t>
      </w:r>
      <w:r w:rsidR="00C32AF5">
        <w:t xml:space="preserve"> </w:t>
      </w:r>
      <w:r w:rsidR="00576ED8">
        <w:t>containing more than one</w:t>
      </w:r>
      <w:r w:rsidR="00E054EB">
        <w:t xml:space="preserve"> individual unit of </w:t>
      </w:r>
      <w:r w:rsidR="00576ED8">
        <w:t xml:space="preserve">an </w:t>
      </w:r>
      <w:r w:rsidR="00E054EB">
        <w:t>alcoholic beverage</w:t>
      </w:r>
      <w:r w:rsidR="0003437A">
        <w:t xml:space="preserve">. </w:t>
      </w:r>
    </w:p>
    <w:p w14:paraId="2B5F1F82" w14:textId="68F731FF" w:rsidR="0003437A" w:rsidRDefault="0003437A" w:rsidP="00DD3C5E"/>
    <w:p w14:paraId="0762FBA5" w14:textId="4AA0286D" w:rsidR="005873C5" w:rsidRDefault="0003437A" w:rsidP="00DD3C5E">
      <w:r>
        <w:t xml:space="preserve">The draft variation differs to that requested by the applicant to </w:t>
      </w:r>
      <w:r w:rsidR="00855145">
        <w:t>maintain the</w:t>
      </w:r>
      <w:r w:rsidR="00132069">
        <w:t xml:space="preserve"> </w:t>
      </w:r>
      <w:r>
        <w:t>effectiveness of the pregnancy warning mark, whilst a</w:t>
      </w:r>
      <w:r w:rsidR="00585605">
        <w:t xml:space="preserve">llowing industry to resolve </w:t>
      </w:r>
      <w:r>
        <w:t>technical misalignment issues</w:t>
      </w:r>
      <w:r w:rsidR="00855145">
        <w:t xml:space="preserve"> for a very small proportion of </w:t>
      </w:r>
      <w:r w:rsidR="00AD3EDF">
        <w:t xml:space="preserve">packaging </w:t>
      </w:r>
      <w:r w:rsidR="006503E4">
        <w:t xml:space="preserve">used </w:t>
      </w:r>
      <w:r w:rsidR="00AD3EDF">
        <w:t>for alcoholic beverages</w:t>
      </w:r>
      <w:r w:rsidR="00855145">
        <w:t>.</w:t>
      </w:r>
    </w:p>
    <w:p w14:paraId="14A4FEAD" w14:textId="7E492AAB" w:rsidR="00E520FE" w:rsidRPr="00932F14" w:rsidRDefault="00D43F01" w:rsidP="00E520FE">
      <w:pPr>
        <w:pStyle w:val="Heading2"/>
      </w:pPr>
      <w:bookmarkStart w:id="60" w:name="_Toc300933435"/>
      <w:bookmarkStart w:id="61" w:name="_Toc114057808"/>
      <w:r>
        <w:t>2.</w:t>
      </w:r>
      <w:r w:rsidR="00874B4F">
        <w:t>4</w:t>
      </w:r>
      <w:r w:rsidR="00E520FE">
        <w:tab/>
        <w:t>Risk communication</w:t>
      </w:r>
      <w:bookmarkEnd w:id="60"/>
      <w:bookmarkEnd w:id="61"/>
      <w:r w:rsidR="00E520FE">
        <w:t xml:space="preserve"> </w:t>
      </w:r>
    </w:p>
    <w:p w14:paraId="18CAF7EF" w14:textId="48F88716" w:rsidR="00E520FE" w:rsidRPr="00D43F01" w:rsidRDefault="00E520FE" w:rsidP="00022DBC">
      <w:pPr>
        <w:pStyle w:val="Heading3"/>
        <w:rPr>
          <w:color w:val="auto"/>
        </w:rPr>
      </w:pPr>
      <w:bookmarkStart w:id="62" w:name="_Toc300933437"/>
      <w:bookmarkStart w:id="63" w:name="_Toc286391012"/>
      <w:r w:rsidRPr="00D43F01">
        <w:rPr>
          <w:color w:val="auto"/>
        </w:rPr>
        <w:t>2.</w:t>
      </w:r>
      <w:r w:rsidR="00874B4F">
        <w:rPr>
          <w:color w:val="auto"/>
        </w:rPr>
        <w:t>4</w:t>
      </w:r>
      <w:r w:rsidRPr="00D43F01">
        <w:rPr>
          <w:color w:val="auto"/>
        </w:rPr>
        <w:t>.1</w:t>
      </w:r>
      <w:r w:rsidRPr="00D43F01">
        <w:rPr>
          <w:color w:val="auto"/>
        </w:rPr>
        <w:tab/>
        <w:t>Consultation</w:t>
      </w:r>
      <w:bookmarkEnd w:id="62"/>
    </w:p>
    <w:p w14:paraId="26D3D738" w14:textId="77777777" w:rsidR="00D43F01" w:rsidRPr="00806CA9" w:rsidRDefault="00D43F01" w:rsidP="00D43F01">
      <w:r w:rsidRPr="0027513D">
        <w:t xml:space="preserve">Consultation is a key part of FSANZ’s standards development process. </w:t>
      </w:r>
      <w:r w:rsidRPr="00806CA9">
        <w:t xml:space="preserve">FSANZ </w:t>
      </w:r>
      <w:r>
        <w:t xml:space="preserve">developed and applied a standard communication strategy to this application. </w:t>
      </w:r>
    </w:p>
    <w:p w14:paraId="27F452BE" w14:textId="77777777" w:rsidR="00D43F01" w:rsidRPr="00806CA9" w:rsidRDefault="00D43F01" w:rsidP="00D43F01"/>
    <w:p w14:paraId="6316FCDE" w14:textId="77777777" w:rsidR="00D43F01" w:rsidRPr="00806CA9" w:rsidRDefault="00D43F01" w:rsidP="00D43F01">
      <w:r>
        <w:t>All calls for submissions are notified via the Food Standards Notification Circular, media release, FSANZ’s social media tools and Food Standards News.</w:t>
      </w:r>
    </w:p>
    <w:p w14:paraId="03EFB32F" w14:textId="77777777" w:rsidR="00D43F01" w:rsidRPr="00806CA9" w:rsidRDefault="00D43F01" w:rsidP="00D43F01"/>
    <w:p w14:paraId="1DB9C015" w14:textId="77777777" w:rsidR="00D43F01" w:rsidRDefault="00D43F01" w:rsidP="00D43F01">
      <w:pPr>
        <w:rPr>
          <w:szCs w:val="22"/>
        </w:rPr>
      </w:pPr>
      <w:r>
        <w:t>The process by which FSANZ considers standards development matters is open, accountable, consultative and transparent. Public submissions are called to obtain the views of the public, including interested parties, on issues raised by the application and the impacts of regulatory options.</w:t>
      </w:r>
    </w:p>
    <w:p w14:paraId="32E74053" w14:textId="0910996E" w:rsidR="00E520FE" w:rsidRPr="00022DBC" w:rsidRDefault="00D43F01" w:rsidP="00022DBC">
      <w:pPr>
        <w:pStyle w:val="Heading3"/>
      </w:pPr>
      <w:bookmarkStart w:id="64" w:name="_Toc300761912"/>
      <w:bookmarkStart w:id="65" w:name="_Toc300933439"/>
      <w:bookmarkEnd w:id="63"/>
      <w:r>
        <w:t>2.</w:t>
      </w:r>
      <w:r w:rsidR="00874B4F">
        <w:t>4</w:t>
      </w:r>
      <w:r w:rsidR="00022DBC" w:rsidRPr="00022DBC">
        <w:t>.2</w:t>
      </w:r>
      <w:r w:rsidR="00E520FE" w:rsidRPr="00022DBC">
        <w:tab/>
        <w:t>World Trade Organization (WTO)</w:t>
      </w:r>
      <w:bookmarkEnd w:id="64"/>
      <w:bookmarkEnd w:id="65"/>
    </w:p>
    <w:p w14:paraId="6C9B7BE7" w14:textId="152B4CCF"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392E5B6B" w14:textId="486786F8" w:rsidR="00D43F01" w:rsidRDefault="00D43F01" w:rsidP="00E520FE">
      <w:pPr>
        <w:rPr>
          <w:rFonts w:cs="Arial"/>
          <w:color w:val="000000"/>
        </w:rPr>
      </w:pPr>
    </w:p>
    <w:p w14:paraId="46D4BB26" w14:textId="5F42B452" w:rsidR="00E520FE" w:rsidRPr="00D43F01" w:rsidRDefault="00B84054" w:rsidP="00D43F01">
      <w:r>
        <w:rPr>
          <w:rFonts w:cs="Arial"/>
        </w:rPr>
        <w:t xml:space="preserve">FSANZ is unaware of </w:t>
      </w:r>
      <w:r w:rsidR="00D43F01" w:rsidRPr="006811E0">
        <w:rPr>
          <w:rFonts w:cs="Arial"/>
        </w:rPr>
        <w:t>international standards directly relevant to the amendment being sought in this application. Amending the Code</w:t>
      </w:r>
      <w:r w:rsidR="00D43F01" w:rsidRPr="006811E0">
        <w:t xml:space="preserve"> to permit the pregnancy warning mark on </w:t>
      </w:r>
      <w:r w:rsidR="00921C27">
        <w:t>CC</w:t>
      </w:r>
      <w:r w:rsidR="00D43F01" w:rsidRPr="006811E0">
        <w:t xml:space="preserve"> packaging used for multiple individual units of alcoholic beverages to </w:t>
      </w:r>
      <w:r w:rsidR="006811E0">
        <w:t xml:space="preserve">be in black on </w:t>
      </w:r>
      <w:r w:rsidR="006E3D5C">
        <w:t>kraft, recycled or white CC</w:t>
      </w:r>
      <w:r w:rsidR="00427439">
        <w:t>,</w:t>
      </w:r>
      <w:r w:rsidR="00996B76">
        <w:t xml:space="preserve"> or in red, black and white as currently prescribed</w:t>
      </w:r>
      <w:r w:rsidR="00D43F01">
        <w:t>,</w:t>
      </w:r>
      <w:r w:rsidR="00D43F01" w:rsidRPr="00A447B3">
        <w:rPr>
          <w:rFonts w:cs="Arial"/>
        </w:rPr>
        <w:t xml:space="preserve"> is unlikely to have a significant effect on </w:t>
      </w:r>
      <w:r w:rsidR="00D43F01">
        <w:rPr>
          <w:rFonts w:cs="Arial"/>
        </w:rPr>
        <w:t>international trade</w:t>
      </w:r>
      <w:r w:rsidR="000D6F4B">
        <w:rPr>
          <w:rFonts w:cs="Arial"/>
        </w:rPr>
        <w:t xml:space="preserve">. </w:t>
      </w:r>
      <w:r w:rsidR="00D43F01" w:rsidRPr="0024582E">
        <w:rPr>
          <w:rFonts w:cs="Arial"/>
          <w:iCs/>
        </w:rPr>
        <w:t xml:space="preserve">Therefore, </w:t>
      </w:r>
      <w:r w:rsidR="00D43F01">
        <w:rPr>
          <w:rFonts w:cs="Arial"/>
          <w:iCs/>
        </w:rPr>
        <w:t xml:space="preserve">a </w:t>
      </w:r>
      <w:r w:rsidR="00D43F01" w:rsidRPr="0024582E">
        <w:rPr>
          <w:rFonts w:cs="Arial"/>
          <w:iCs/>
        </w:rPr>
        <w:t xml:space="preserve">notification to the WTO under </w:t>
      </w:r>
      <w:r w:rsidR="00D43F01" w:rsidRPr="00A447B3">
        <w:rPr>
          <w:rFonts w:cs="Arial"/>
        </w:rPr>
        <w:t>Australia’s and New Zealand’s</w:t>
      </w:r>
      <w:r w:rsidR="00D43F01" w:rsidRPr="00A447B3">
        <w:rPr>
          <w:rFonts w:cs="Arial"/>
          <w:iCs/>
        </w:rPr>
        <w:t xml:space="preserve"> obligations under the WTO Technical Barriers to Trade or Application of Sanitary and Phytosanitary Measures Agreement was </w:t>
      </w:r>
      <w:r w:rsidR="00D43F01" w:rsidRPr="0024582E">
        <w:rPr>
          <w:rFonts w:cs="Arial"/>
          <w:iCs/>
        </w:rPr>
        <w:t>not considered necessary.</w:t>
      </w:r>
    </w:p>
    <w:p w14:paraId="60916982" w14:textId="430B11DE" w:rsidR="00E520FE" w:rsidRDefault="00F73ADE" w:rsidP="00022DBC">
      <w:pPr>
        <w:pStyle w:val="Heading2"/>
      </w:pPr>
      <w:bookmarkStart w:id="66" w:name="_Toc114057809"/>
      <w:r>
        <w:t>2.</w:t>
      </w:r>
      <w:r w:rsidR="00874B4F">
        <w:t>5</w:t>
      </w:r>
      <w:r w:rsidR="00022DBC">
        <w:tab/>
        <w:t>FSANZ Act assessment requirements</w:t>
      </w:r>
      <w:bookmarkEnd w:id="66"/>
    </w:p>
    <w:p w14:paraId="45899B7C" w14:textId="4CC14655" w:rsidR="00726C2F" w:rsidRPr="00914030" w:rsidRDefault="00726C2F" w:rsidP="00726C2F">
      <w:r w:rsidRPr="00914030">
        <w:t xml:space="preserve">When assessing </w:t>
      </w:r>
      <w:r>
        <w:t xml:space="preserve">this </w:t>
      </w:r>
      <w:r w:rsidR="006322C5">
        <w:t>a</w:t>
      </w:r>
      <w:r w:rsidRPr="00E45D9C">
        <w:t>pplication and the subsequent development of a food regulatory measure</w:t>
      </w:r>
      <w:r w:rsidRPr="00914030">
        <w:t xml:space="preserve">, FSANZ has had regard to the </w:t>
      </w:r>
      <w:r w:rsidRPr="00914030" w:rsidDel="00932F14">
        <w:t xml:space="preserve">following </w:t>
      </w:r>
      <w:r w:rsidRPr="00914030">
        <w:t xml:space="preserve">matters in </w:t>
      </w:r>
      <w:r w:rsidRPr="00E45D9C">
        <w:t xml:space="preserve">section </w:t>
      </w:r>
      <w:r w:rsidR="00E45D9C" w:rsidRPr="00E45D9C">
        <w:t>29</w:t>
      </w:r>
      <w:r w:rsidRPr="00E45D9C">
        <w:t xml:space="preserve"> of the </w:t>
      </w:r>
      <w:r w:rsidRPr="00914030">
        <w:t>FSANZ Act:</w:t>
      </w:r>
    </w:p>
    <w:p w14:paraId="4B1EB62B" w14:textId="568F3AF3" w:rsidR="00726C2F" w:rsidRPr="00914030" w:rsidRDefault="00726C2F" w:rsidP="00726C2F">
      <w:pPr>
        <w:pStyle w:val="Heading3"/>
      </w:pPr>
      <w:r>
        <w:t>2.</w:t>
      </w:r>
      <w:r w:rsidR="00874B4F">
        <w:t>5</w:t>
      </w:r>
      <w:r>
        <w:t>.1</w:t>
      </w:r>
      <w:r>
        <w:tab/>
        <w:t xml:space="preserve">Section </w:t>
      </w:r>
      <w:r w:rsidRPr="00E45D9C">
        <w:rPr>
          <w:color w:val="auto"/>
        </w:rPr>
        <w:t>29</w:t>
      </w:r>
    </w:p>
    <w:p w14:paraId="743F6C74" w14:textId="2304425C" w:rsidR="00726C2F" w:rsidRDefault="00195254" w:rsidP="00726C2F">
      <w:pPr>
        <w:pStyle w:val="Heading4"/>
      </w:pPr>
      <w:r>
        <w:t>2.</w:t>
      </w:r>
      <w:r w:rsidR="00874B4F">
        <w:t>5</w:t>
      </w:r>
      <w:r>
        <w:t>.1.1</w:t>
      </w:r>
      <w:r>
        <w:tab/>
        <w:t>Co</w:t>
      </w:r>
      <w:proofErr w:type="spellStart"/>
      <w:r>
        <w:rPr>
          <w:lang w:val="en-AU"/>
        </w:rPr>
        <w:t>nsideration</w:t>
      </w:r>
      <w:proofErr w:type="spellEnd"/>
      <w:r>
        <w:rPr>
          <w:lang w:val="en-AU"/>
        </w:rPr>
        <w:t xml:space="preserve"> of costs and benefits</w:t>
      </w:r>
    </w:p>
    <w:p w14:paraId="5FBDD8E5" w14:textId="7699B7A0" w:rsidR="00726C2F" w:rsidRDefault="43B3F6D5" w:rsidP="5574E25E">
      <w:pPr>
        <w:rPr>
          <w:rFonts w:eastAsia="Arial"/>
          <w:color w:val="F01482"/>
          <w:szCs w:val="22"/>
        </w:rPr>
      </w:pPr>
      <w:r w:rsidRPr="3C0BE305">
        <w:rPr>
          <w:rFonts w:eastAsia="Arial" w:cs="Arial"/>
        </w:rPr>
        <w:t xml:space="preserve">The Office of Best Practice Regulation (OBPR) exempted FSANZ from the need to undertake a formal Regulation Impact Statement (RIS) in relation to the regulatory change proposed in response to this </w:t>
      </w:r>
      <w:r w:rsidR="005F4C08">
        <w:rPr>
          <w:rFonts w:eastAsia="Arial" w:cs="Arial"/>
        </w:rPr>
        <w:t>a</w:t>
      </w:r>
      <w:r w:rsidRPr="00C75927">
        <w:rPr>
          <w:rFonts w:eastAsia="Arial" w:cs="Arial"/>
        </w:rPr>
        <w:t>pplication</w:t>
      </w:r>
      <w:r w:rsidRPr="3C0BE305">
        <w:rPr>
          <w:rFonts w:eastAsia="Arial" w:cs="Arial"/>
        </w:rPr>
        <w:t xml:space="preserve"> </w:t>
      </w:r>
      <w:r w:rsidRPr="27F72A86">
        <w:rPr>
          <w:rFonts w:eastAsia="Arial" w:cs="Arial"/>
        </w:rPr>
        <w:t xml:space="preserve">(OBPR </w:t>
      </w:r>
      <w:r w:rsidR="560B1D7D" w:rsidRPr="27F72A86">
        <w:rPr>
          <w:rFonts w:eastAsia="Arial" w:cs="Arial"/>
        </w:rPr>
        <w:t>ID OBPR22-03128)</w:t>
      </w:r>
      <w:r w:rsidR="1BD8DCDB" w:rsidRPr="15F4B825">
        <w:rPr>
          <w:rFonts w:ascii="Calibri" w:eastAsia="Calibri" w:hAnsi="Calibri" w:cs="Calibri"/>
        </w:rPr>
        <w:t>.</w:t>
      </w:r>
      <w:r w:rsidR="560B1D7D" w:rsidRPr="15F4B825">
        <w:rPr>
          <w:rFonts w:ascii="Calibri" w:eastAsia="Calibri" w:hAnsi="Calibri" w:cs="Calibri"/>
        </w:rPr>
        <w:t xml:space="preserve"> </w:t>
      </w:r>
      <w:r w:rsidR="7ABD8E13" w:rsidRPr="15F4B825">
        <w:rPr>
          <w:rFonts w:eastAsia="Arial" w:cs="Arial"/>
        </w:rPr>
        <w:t xml:space="preserve"> </w:t>
      </w:r>
      <w:r w:rsidR="2D8FA2E0" w:rsidRPr="15F4B825">
        <w:rPr>
          <w:rFonts w:eastAsia="Arial" w:cs="Arial"/>
        </w:rPr>
        <w:t xml:space="preserve">The </w:t>
      </w:r>
      <w:r w:rsidR="7ABD8E13" w:rsidRPr="487DCE71">
        <w:rPr>
          <w:rFonts w:eastAsia="Arial" w:cs="Arial"/>
        </w:rPr>
        <w:t xml:space="preserve">OBPR considers the </w:t>
      </w:r>
      <w:r w:rsidR="00171C83">
        <w:rPr>
          <w:rFonts w:eastAsia="Arial" w:cs="Arial"/>
        </w:rPr>
        <w:t xml:space="preserve">proposed </w:t>
      </w:r>
      <w:r w:rsidR="008321B2">
        <w:rPr>
          <w:rFonts w:eastAsia="Arial" w:cs="Arial"/>
        </w:rPr>
        <w:t>measure</w:t>
      </w:r>
      <w:r w:rsidR="00171C83" w:rsidRPr="487DCE71">
        <w:rPr>
          <w:rFonts w:eastAsia="Arial" w:cs="Arial"/>
        </w:rPr>
        <w:t xml:space="preserve"> </w:t>
      </w:r>
      <w:r w:rsidR="7ABD8E13" w:rsidRPr="487DCE71">
        <w:rPr>
          <w:rFonts w:eastAsia="Arial" w:cs="Arial"/>
        </w:rPr>
        <w:t>is unlikely to have a more than minor regulatory impact. As such, the preparation of a RIS is not required.</w:t>
      </w:r>
    </w:p>
    <w:p w14:paraId="52A5BC7D" w14:textId="33717901" w:rsidR="00726C2F" w:rsidRDefault="00726C2F" w:rsidP="5574E25E">
      <w:pPr>
        <w:rPr>
          <w:rFonts w:eastAsia="Arial" w:cs="Arial"/>
          <w:szCs w:val="22"/>
        </w:rPr>
      </w:pPr>
    </w:p>
    <w:p w14:paraId="1C4DBE96" w14:textId="1F611197" w:rsidR="00726C2F" w:rsidRDefault="2182ED80" w:rsidP="1E1436A7">
      <w:pPr>
        <w:rPr>
          <w:rFonts w:eastAsia="Arial" w:cs="Arial"/>
        </w:rPr>
      </w:pPr>
      <w:r w:rsidRPr="1E1436A7">
        <w:rPr>
          <w:rFonts w:eastAsia="Arial" w:cs="Arial"/>
        </w:rPr>
        <w:t>FSANZ, however, has given consideration to the potential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w:t>
      </w:r>
      <w:r w:rsidRPr="1E1436A7">
        <w:rPr>
          <w:rFonts w:eastAsia="Arial" w:cs="Arial"/>
          <w:szCs w:val="22"/>
        </w:rPr>
        <w:t xml:space="preserve"> (paragraph 29 (2)(a))</w:t>
      </w:r>
      <w:r w:rsidR="306D6EF2" w:rsidRPr="1E1436A7">
        <w:rPr>
          <w:rFonts w:eastAsia="Arial" w:cs="Arial"/>
          <w:szCs w:val="22"/>
        </w:rPr>
        <w:t>.</w:t>
      </w:r>
      <w:r w:rsidRPr="1E1436A7">
        <w:rPr>
          <w:rFonts w:eastAsia="Arial" w:cs="Arial"/>
          <w:szCs w:val="22"/>
        </w:rPr>
        <w:t xml:space="preserve"> </w:t>
      </w:r>
    </w:p>
    <w:p w14:paraId="24D5A5B4" w14:textId="1B7D9F6B" w:rsidR="6BF81C9D" w:rsidRDefault="6BF81C9D" w:rsidP="6BF81C9D">
      <w:pPr>
        <w:rPr>
          <w:rFonts w:eastAsia="Arial" w:cs="Arial"/>
        </w:rPr>
      </w:pPr>
    </w:p>
    <w:p w14:paraId="557C9C3A" w14:textId="77777777" w:rsidR="00E464E7" w:rsidRDefault="430A6F3C" w:rsidP="099E3555">
      <w:pPr>
        <w:rPr>
          <w:rFonts w:eastAsia="Arial" w:cs="Arial"/>
        </w:rPr>
      </w:pPr>
      <w:r w:rsidRPr="099E3555">
        <w:rPr>
          <w:rFonts w:eastAsia="Arial" w:cs="Arial"/>
        </w:rPr>
        <w:t xml:space="preserve">The purpose of this consideration is to determine if the community, government, and industry as a whole is likely to benefit, on balance, from a move from the status quo. This analysis considers </w:t>
      </w:r>
      <w:r w:rsidR="1E83B6E4" w:rsidRPr="099E3555">
        <w:rPr>
          <w:rFonts w:eastAsia="Arial" w:cs="Arial"/>
        </w:rPr>
        <w:t>three options</w:t>
      </w:r>
      <w:r w:rsidR="00E464E7">
        <w:rPr>
          <w:rFonts w:eastAsia="Arial" w:cs="Arial"/>
        </w:rPr>
        <w:t>:</w:t>
      </w:r>
    </w:p>
    <w:p w14:paraId="6D3F946C" w14:textId="77777777" w:rsidR="00E464E7" w:rsidRDefault="00E464E7" w:rsidP="099E3555">
      <w:pPr>
        <w:rPr>
          <w:rFonts w:eastAsia="Arial" w:cs="Arial"/>
        </w:rPr>
      </w:pPr>
    </w:p>
    <w:p w14:paraId="3C9FFF62" w14:textId="1C955805" w:rsidR="00F6787A" w:rsidRDefault="00E464E7" w:rsidP="00FA3085">
      <w:pPr>
        <w:pStyle w:val="ListParagraph"/>
        <w:numPr>
          <w:ilvl w:val="0"/>
          <w:numId w:val="8"/>
        </w:numPr>
        <w:ind w:left="567" w:hanging="567"/>
        <w:rPr>
          <w:rFonts w:eastAsia="Arial" w:cs="Arial"/>
        </w:rPr>
      </w:pPr>
      <w:r w:rsidRPr="00E464E7">
        <w:rPr>
          <w:rFonts w:eastAsia="Arial" w:cs="Arial"/>
        </w:rPr>
        <w:t xml:space="preserve">Option 1: </w:t>
      </w:r>
      <w:r>
        <w:rPr>
          <w:rFonts w:eastAsia="Arial" w:cs="Arial"/>
        </w:rPr>
        <w:t xml:space="preserve">Status quo </w:t>
      </w:r>
      <w:r w:rsidR="006D2441">
        <w:rPr>
          <w:rFonts w:eastAsia="Arial" w:cs="Arial"/>
        </w:rPr>
        <w:t>–</w:t>
      </w:r>
      <w:r>
        <w:rPr>
          <w:rFonts w:eastAsia="Arial" w:cs="Arial"/>
        </w:rPr>
        <w:t xml:space="preserve"> </w:t>
      </w:r>
      <w:r w:rsidR="00C66906">
        <w:rPr>
          <w:rFonts w:eastAsia="Arial" w:cs="Arial"/>
        </w:rPr>
        <w:t>no change to requirements in Standard 2.7.1</w:t>
      </w:r>
    </w:p>
    <w:p w14:paraId="64004F80" w14:textId="2499E9A1" w:rsidR="00FE511C" w:rsidRDefault="00F6787A" w:rsidP="00FA3085">
      <w:pPr>
        <w:pStyle w:val="ListParagraph"/>
        <w:numPr>
          <w:ilvl w:val="0"/>
          <w:numId w:val="8"/>
        </w:numPr>
        <w:ind w:left="567" w:hanging="567"/>
        <w:rPr>
          <w:rFonts w:eastAsia="Arial" w:cs="Arial"/>
        </w:rPr>
      </w:pPr>
      <w:r>
        <w:rPr>
          <w:rFonts w:eastAsia="Arial" w:cs="Arial"/>
        </w:rPr>
        <w:t xml:space="preserve">Option 2: </w:t>
      </w:r>
      <w:r w:rsidR="00C66906">
        <w:rPr>
          <w:rFonts w:eastAsia="Arial" w:cs="Arial"/>
        </w:rPr>
        <w:t>Amend Code requirements as requested b</w:t>
      </w:r>
      <w:r w:rsidR="004B34E7">
        <w:rPr>
          <w:rFonts w:eastAsia="Arial" w:cs="Arial"/>
        </w:rPr>
        <w:t>y</w:t>
      </w:r>
      <w:r w:rsidR="00C66906">
        <w:rPr>
          <w:rFonts w:eastAsia="Arial" w:cs="Arial"/>
        </w:rPr>
        <w:t xml:space="preserve"> the applicant (pregnancy warning </w:t>
      </w:r>
      <w:r w:rsidR="00E967AF">
        <w:rPr>
          <w:rFonts w:eastAsia="Arial" w:cs="Arial"/>
        </w:rPr>
        <w:t>mark</w:t>
      </w:r>
      <w:r w:rsidR="00C66906">
        <w:rPr>
          <w:rFonts w:eastAsia="Arial" w:cs="Arial"/>
        </w:rPr>
        <w:t xml:space="preserve"> on CC packaging of more than one </w:t>
      </w:r>
      <w:r w:rsidR="004B34E7">
        <w:rPr>
          <w:rFonts w:eastAsia="Arial" w:cs="Arial"/>
        </w:rPr>
        <w:t>individual unit in a single co</w:t>
      </w:r>
      <w:r w:rsidR="005D72CA">
        <w:rPr>
          <w:rFonts w:eastAsia="Arial" w:cs="Arial"/>
        </w:rPr>
        <w:t>l</w:t>
      </w:r>
      <w:r w:rsidR="004B34E7">
        <w:rPr>
          <w:rFonts w:eastAsia="Arial" w:cs="Arial"/>
        </w:rPr>
        <w:t>our on a contrasting background)</w:t>
      </w:r>
    </w:p>
    <w:p w14:paraId="1D4004D0" w14:textId="58A87F62" w:rsidR="008E2176" w:rsidRDefault="008E2176" w:rsidP="00FA3085">
      <w:pPr>
        <w:pStyle w:val="ListParagraph"/>
        <w:numPr>
          <w:ilvl w:val="0"/>
          <w:numId w:val="8"/>
        </w:numPr>
        <w:ind w:left="567" w:hanging="567"/>
        <w:rPr>
          <w:rFonts w:eastAsia="Arial" w:cs="Arial"/>
        </w:rPr>
      </w:pPr>
      <w:r>
        <w:rPr>
          <w:rFonts w:eastAsia="Arial" w:cs="Arial"/>
        </w:rPr>
        <w:t xml:space="preserve">Option 3: </w:t>
      </w:r>
      <w:r w:rsidR="00CE5956">
        <w:rPr>
          <w:rFonts w:eastAsia="Arial" w:cs="Arial"/>
        </w:rPr>
        <w:t>Amend Code requirements as requested by the applicant</w:t>
      </w:r>
      <w:r w:rsidR="005C44F9">
        <w:rPr>
          <w:rFonts w:eastAsia="Arial" w:cs="Arial"/>
        </w:rPr>
        <w:t xml:space="preserve"> with modifications to mit</w:t>
      </w:r>
      <w:r w:rsidR="006C4745">
        <w:rPr>
          <w:rFonts w:eastAsia="Arial" w:cs="Arial"/>
        </w:rPr>
        <w:t>igate the loss of three prescribed</w:t>
      </w:r>
      <w:r w:rsidR="005D72CA">
        <w:rPr>
          <w:rFonts w:eastAsia="Arial" w:cs="Arial"/>
        </w:rPr>
        <w:t xml:space="preserve"> colours. </w:t>
      </w:r>
    </w:p>
    <w:p w14:paraId="541A6B27" w14:textId="77777777" w:rsidR="00087EFA" w:rsidRDefault="00087EFA" w:rsidP="00087EFA">
      <w:pPr>
        <w:rPr>
          <w:rFonts w:eastAsia="Arial" w:cs="Arial"/>
        </w:rPr>
      </w:pPr>
    </w:p>
    <w:p w14:paraId="1B2B322A" w14:textId="33F188D0" w:rsidR="00726C2F" w:rsidRPr="00087EFA" w:rsidRDefault="430A6F3C" w:rsidP="00087EFA">
      <w:pPr>
        <w:rPr>
          <w:rFonts w:eastAsia="Arial" w:cs="Arial"/>
        </w:rPr>
      </w:pPr>
      <w:r w:rsidRPr="00087EFA">
        <w:rPr>
          <w:rFonts w:eastAsia="Arial" w:cs="Arial"/>
        </w:rPr>
        <w:t>FSANZ is of the view that no other realistic food regulatory measures exist, however information received may result in FSANZ arriving at a different outcome.</w:t>
      </w:r>
    </w:p>
    <w:p w14:paraId="7678A1EB" w14:textId="252E1E1E" w:rsidR="099E3555" w:rsidRDefault="099E3555" w:rsidP="099E3555">
      <w:pPr>
        <w:rPr>
          <w:rFonts w:eastAsia="Arial" w:cs="Arial"/>
        </w:rPr>
      </w:pPr>
    </w:p>
    <w:p w14:paraId="7C59C541" w14:textId="6D9FC299" w:rsidR="00726C2F" w:rsidRDefault="430A6F3C" w:rsidP="099E3555">
      <w:pPr>
        <w:rPr>
          <w:rFonts w:eastAsia="Arial" w:cs="Arial"/>
        </w:rPr>
      </w:pPr>
      <w:r w:rsidRPr="099E3555">
        <w:rPr>
          <w:rFonts w:eastAsia="Arial" w:cs="Arial"/>
        </w:rPr>
        <w:t xml:space="preserve">The consideration of the costs and benefits in this section is not intended to be an exhaustive, quantitative economic analysis of the proposed measure and, in fact, most of the effects that were considered cannot easily be assigned a dollar value. Rather, the assessment seeks to highlight the likely positives and negatives of moving away from the status quo by </w:t>
      </w:r>
      <w:r w:rsidR="77304BA3" w:rsidRPr="099E3555">
        <w:rPr>
          <w:rFonts w:eastAsia="Arial" w:cs="Arial"/>
        </w:rPr>
        <w:t xml:space="preserve">the second and third options. </w:t>
      </w:r>
    </w:p>
    <w:p w14:paraId="240313D6" w14:textId="6E6E330A" w:rsidR="099E3555" w:rsidRDefault="099E3555" w:rsidP="099E3555">
      <w:pPr>
        <w:rPr>
          <w:szCs w:val="22"/>
        </w:rPr>
      </w:pPr>
    </w:p>
    <w:p w14:paraId="077FF124" w14:textId="40E14730" w:rsidR="39617824" w:rsidRDefault="39617824" w:rsidP="099E3555">
      <w:pPr>
        <w:rPr>
          <w:rFonts w:eastAsia="Arial" w:cs="Arial"/>
          <w:lang w:val="en-AU"/>
        </w:rPr>
      </w:pPr>
      <w:r w:rsidRPr="076403E8">
        <w:rPr>
          <w:rFonts w:eastAsia="Arial" w:cs="Arial"/>
          <w:lang w:val="en-AU"/>
        </w:rPr>
        <w:t xml:space="preserve">FSANZ </w:t>
      </w:r>
      <w:r w:rsidR="00FC5365" w:rsidRPr="076403E8">
        <w:rPr>
          <w:rFonts w:eastAsia="Arial" w:cs="Arial"/>
          <w:lang w:val="en-AU"/>
        </w:rPr>
        <w:t xml:space="preserve">has </w:t>
      </w:r>
      <w:r w:rsidRPr="076403E8">
        <w:rPr>
          <w:rFonts w:eastAsia="Arial" w:cs="Arial"/>
          <w:lang w:val="en-AU"/>
        </w:rPr>
        <w:t xml:space="preserve">undertaken significant third-party </w:t>
      </w:r>
      <w:r w:rsidR="251DDE3A" w:rsidRPr="076403E8">
        <w:rPr>
          <w:rFonts w:eastAsia="Arial" w:cs="Arial"/>
          <w:lang w:val="en-AU"/>
        </w:rPr>
        <w:t>information</w:t>
      </w:r>
      <w:r w:rsidRPr="076403E8">
        <w:rPr>
          <w:rFonts w:eastAsia="Arial" w:cs="Arial"/>
          <w:lang w:val="en-AU"/>
        </w:rPr>
        <w:t xml:space="preserve"> gathering across the </w:t>
      </w:r>
      <w:r w:rsidR="00431E16" w:rsidRPr="076403E8">
        <w:rPr>
          <w:rFonts w:eastAsia="Arial" w:cs="Arial"/>
          <w:lang w:val="en-AU"/>
        </w:rPr>
        <w:t xml:space="preserve">printing </w:t>
      </w:r>
      <w:r w:rsidRPr="076403E8">
        <w:rPr>
          <w:rFonts w:eastAsia="Arial" w:cs="Arial"/>
          <w:lang w:val="en-AU"/>
        </w:rPr>
        <w:t xml:space="preserve">industry </w:t>
      </w:r>
      <w:r w:rsidR="00582D5C" w:rsidRPr="076403E8">
        <w:rPr>
          <w:rFonts w:eastAsia="Arial" w:cs="Arial"/>
          <w:lang w:val="en-AU"/>
        </w:rPr>
        <w:t>in</w:t>
      </w:r>
      <w:r w:rsidRPr="076403E8">
        <w:rPr>
          <w:rFonts w:eastAsia="Arial" w:cs="Arial"/>
          <w:lang w:val="en-AU"/>
        </w:rPr>
        <w:t xml:space="preserve"> Australia and New Zealand to confirm the existence of this technical issue</w:t>
      </w:r>
      <w:r w:rsidR="6F970506" w:rsidRPr="076403E8">
        <w:rPr>
          <w:rFonts w:eastAsia="Arial" w:cs="Arial"/>
          <w:lang w:val="en-AU"/>
        </w:rPr>
        <w:t xml:space="preserve"> and the costs associated with overcoming it.</w:t>
      </w:r>
      <w:r w:rsidRPr="076403E8">
        <w:rPr>
          <w:rFonts w:eastAsia="Arial" w:cs="Arial"/>
          <w:lang w:val="en-AU"/>
        </w:rPr>
        <w:t xml:space="preserve"> </w:t>
      </w:r>
      <w:r w:rsidR="76944F13" w:rsidRPr="076403E8">
        <w:rPr>
          <w:rFonts w:eastAsia="Arial" w:cs="Arial"/>
          <w:lang w:val="en-AU"/>
        </w:rPr>
        <w:t xml:space="preserve">The objective of any change is to allow industry a more </w:t>
      </w:r>
      <w:r w:rsidR="3EFD5B9C" w:rsidRPr="076403E8">
        <w:rPr>
          <w:rFonts w:eastAsia="Arial" w:cs="Arial"/>
          <w:lang w:val="en-AU"/>
        </w:rPr>
        <w:t>cost effective and</w:t>
      </w:r>
      <w:r w:rsidR="393AB9DD" w:rsidRPr="076403E8">
        <w:rPr>
          <w:rFonts w:eastAsia="Arial" w:cs="Arial"/>
          <w:lang w:val="en-AU"/>
        </w:rPr>
        <w:t xml:space="preserve"> </w:t>
      </w:r>
      <w:r w:rsidR="76944F13" w:rsidRPr="076403E8">
        <w:rPr>
          <w:rFonts w:eastAsia="Arial" w:cs="Arial"/>
          <w:lang w:val="en-AU"/>
        </w:rPr>
        <w:t xml:space="preserve">efficient way to achieve compliance </w:t>
      </w:r>
      <w:r w:rsidR="5147589C" w:rsidRPr="076403E8">
        <w:rPr>
          <w:rFonts w:eastAsia="Arial" w:cs="Arial"/>
          <w:lang w:val="en-AU"/>
        </w:rPr>
        <w:t xml:space="preserve">However, any alternative path to achieving compliance must maintain </w:t>
      </w:r>
      <w:r w:rsidR="393AB9DD" w:rsidRPr="076403E8">
        <w:rPr>
          <w:rFonts w:eastAsia="Arial" w:cs="Arial"/>
          <w:lang w:val="en-AU"/>
        </w:rPr>
        <w:t>the efficacy of the labelling</w:t>
      </w:r>
      <w:r w:rsidR="76944F13" w:rsidRPr="076403E8">
        <w:rPr>
          <w:rFonts w:eastAsia="Arial" w:cs="Arial"/>
          <w:lang w:val="en-AU"/>
        </w:rPr>
        <w:t>. The labelling requirement has been put in place to assist with reducing the prevalence of foetal alcohol spectrum disorder which causes lifelong disability to individuals and significant costs to the community as a whole.</w:t>
      </w:r>
      <w:r w:rsidR="64D91E59" w:rsidRPr="076403E8">
        <w:rPr>
          <w:rFonts w:eastAsia="Arial" w:cs="Arial"/>
          <w:lang w:val="en-AU"/>
        </w:rPr>
        <w:t xml:space="preserve"> Not maintaining the efficacy </w:t>
      </w:r>
      <w:r w:rsidR="2C9ACF8C" w:rsidRPr="076403E8">
        <w:rPr>
          <w:rFonts w:eastAsia="Arial" w:cs="Arial"/>
          <w:lang w:val="en-AU"/>
        </w:rPr>
        <w:t>may result in unacceptable costs to individuals and the community as a whole.</w:t>
      </w:r>
      <w:r w:rsidR="536E9C75" w:rsidRPr="076403E8">
        <w:rPr>
          <w:rFonts w:eastAsia="Arial" w:cs="Arial"/>
          <w:lang w:val="en-AU"/>
        </w:rPr>
        <w:t xml:space="preserve"> As a result, option 2 has been exclude</w:t>
      </w:r>
      <w:r w:rsidR="4D57423B" w:rsidRPr="076403E8">
        <w:rPr>
          <w:rFonts w:eastAsia="Arial" w:cs="Arial"/>
          <w:lang w:val="en-AU"/>
        </w:rPr>
        <w:t>d</w:t>
      </w:r>
      <w:r w:rsidR="536E9C75" w:rsidRPr="076403E8">
        <w:rPr>
          <w:rFonts w:eastAsia="Arial" w:cs="Arial"/>
          <w:lang w:val="en-AU"/>
        </w:rPr>
        <w:t xml:space="preserve"> from further analysis</w:t>
      </w:r>
      <w:r w:rsidR="00ABD387" w:rsidRPr="076403E8">
        <w:rPr>
          <w:rFonts w:eastAsia="Arial" w:cs="Arial"/>
          <w:lang w:val="en-AU"/>
        </w:rPr>
        <w:t xml:space="preserve"> under this section as it </w:t>
      </w:r>
      <w:r w:rsidR="000A41A0" w:rsidRPr="076403E8">
        <w:rPr>
          <w:rFonts w:eastAsia="Arial" w:cs="Arial"/>
          <w:lang w:val="en-AU"/>
        </w:rPr>
        <w:t>would</w:t>
      </w:r>
      <w:r w:rsidR="00ABD387" w:rsidRPr="076403E8">
        <w:rPr>
          <w:rFonts w:eastAsia="Arial" w:cs="Arial"/>
          <w:lang w:val="en-AU"/>
        </w:rPr>
        <w:t xml:space="preserve"> result in a loss of efficacy</w:t>
      </w:r>
      <w:r w:rsidR="536E9C75" w:rsidRPr="076403E8">
        <w:rPr>
          <w:rFonts w:eastAsia="Arial" w:cs="Arial"/>
          <w:lang w:val="en-AU"/>
        </w:rPr>
        <w:t>.</w:t>
      </w:r>
    </w:p>
    <w:p w14:paraId="2B49A03B" w14:textId="35DFF387" w:rsidR="099E3555" w:rsidRDefault="099E3555" w:rsidP="099E3555">
      <w:pPr>
        <w:rPr>
          <w:rFonts w:ascii="Century Gothic" w:eastAsia="Century Gothic" w:hAnsi="Century Gothic" w:cs="Century Gothic"/>
          <w:sz w:val="20"/>
          <w:szCs w:val="20"/>
          <w:lang w:val="en-AU"/>
        </w:rPr>
      </w:pPr>
    </w:p>
    <w:p w14:paraId="73F84428" w14:textId="656CF6CF" w:rsidR="099E3555" w:rsidRPr="00125BED" w:rsidRDefault="30C8DE45" w:rsidP="099E3555">
      <w:pPr>
        <w:rPr>
          <w:rFonts w:eastAsia="Arial" w:cs="Arial"/>
          <w:lang w:val="en-AU"/>
        </w:rPr>
      </w:pPr>
      <w:r w:rsidRPr="275699C5">
        <w:rPr>
          <w:rFonts w:eastAsia="Arial" w:cs="Arial"/>
          <w:lang w:val="en-AU"/>
        </w:rPr>
        <w:t xml:space="preserve">Option 3 gives the alcohol industry an </w:t>
      </w:r>
      <w:r w:rsidR="61717872" w:rsidRPr="275699C5">
        <w:rPr>
          <w:rFonts w:eastAsia="Arial" w:cs="Arial"/>
          <w:lang w:val="en-AU"/>
        </w:rPr>
        <w:t>alternative</w:t>
      </w:r>
      <w:r w:rsidRPr="275699C5">
        <w:rPr>
          <w:rFonts w:eastAsia="Arial" w:cs="Arial"/>
          <w:lang w:val="en-AU"/>
        </w:rPr>
        <w:t xml:space="preserve"> </w:t>
      </w:r>
      <w:r w:rsidR="2A423DA8" w:rsidRPr="275699C5">
        <w:rPr>
          <w:rFonts w:eastAsia="Arial" w:cs="Arial"/>
          <w:lang w:val="en-AU"/>
        </w:rPr>
        <w:t xml:space="preserve">set of </w:t>
      </w:r>
      <w:r w:rsidR="676FF5EB" w:rsidRPr="275699C5">
        <w:rPr>
          <w:rFonts w:eastAsia="Arial" w:cs="Arial"/>
          <w:lang w:val="en-AU"/>
        </w:rPr>
        <w:t>requirements</w:t>
      </w:r>
      <w:r w:rsidRPr="275699C5">
        <w:rPr>
          <w:rFonts w:eastAsia="Arial" w:cs="Arial"/>
          <w:lang w:val="en-AU"/>
        </w:rPr>
        <w:t xml:space="preserve"> to achieve compliance </w:t>
      </w:r>
      <w:r w:rsidR="42857483" w:rsidRPr="275699C5">
        <w:rPr>
          <w:rFonts w:eastAsia="Arial" w:cs="Arial"/>
          <w:lang w:val="en-AU"/>
        </w:rPr>
        <w:t>that maintains the efficacy of the labelling</w:t>
      </w:r>
      <w:r w:rsidRPr="275699C5">
        <w:rPr>
          <w:rFonts w:eastAsia="Arial" w:cs="Arial"/>
          <w:lang w:val="en-AU"/>
        </w:rPr>
        <w:t xml:space="preserve">. </w:t>
      </w:r>
      <w:r w:rsidR="654F33AA" w:rsidRPr="275699C5">
        <w:rPr>
          <w:rFonts w:eastAsia="Arial" w:cs="Arial"/>
          <w:lang w:val="en-AU"/>
        </w:rPr>
        <w:t>Consultation across the printing industry has established</w:t>
      </w:r>
      <w:r w:rsidR="55239E2C" w:rsidRPr="275699C5">
        <w:rPr>
          <w:rFonts w:eastAsia="Arial" w:cs="Arial"/>
          <w:lang w:val="en-AU"/>
        </w:rPr>
        <w:t xml:space="preserve"> that significant costs saving can occur </w:t>
      </w:r>
      <w:r w:rsidR="7CC78378" w:rsidRPr="275699C5">
        <w:rPr>
          <w:rFonts w:eastAsia="Arial" w:cs="Arial"/>
          <w:lang w:val="en-AU"/>
        </w:rPr>
        <w:t xml:space="preserve">for industry </w:t>
      </w:r>
      <w:r w:rsidR="55239E2C" w:rsidRPr="275699C5">
        <w:rPr>
          <w:rFonts w:eastAsia="Arial" w:cs="Arial"/>
          <w:lang w:val="en-AU"/>
        </w:rPr>
        <w:t xml:space="preserve">with </w:t>
      </w:r>
      <w:r w:rsidR="006A67E3">
        <w:rPr>
          <w:rFonts w:eastAsia="Arial" w:cs="Arial"/>
          <w:lang w:val="en-AU"/>
        </w:rPr>
        <w:t>this option.</w:t>
      </w:r>
      <w:r w:rsidR="30920584" w:rsidRPr="649B2A81">
        <w:rPr>
          <w:rFonts w:eastAsia="Arial" w:cs="Arial"/>
          <w:lang w:val="en-AU"/>
        </w:rPr>
        <w:t xml:space="preserve"> Appropriate transitional arrangements are proposed to support these potential savings.</w:t>
      </w:r>
    </w:p>
    <w:p w14:paraId="5FE9C92E" w14:textId="57840C18" w:rsidR="00726C2F" w:rsidRDefault="430A6F3C" w:rsidP="00C75927">
      <w:pPr>
        <w:pStyle w:val="Heading5"/>
        <w:rPr>
          <w:rFonts w:eastAsia="Arial" w:cs="Arial"/>
        </w:rPr>
      </w:pPr>
      <w:r w:rsidRPr="099E3555">
        <w:rPr>
          <w:rFonts w:eastAsia="Arial" w:cs="Arial"/>
        </w:rPr>
        <w:t>Costs and benefits</w:t>
      </w:r>
      <w:r w:rsidR="008964A8">
        <w:rPr>
          <w:rFonts w:eastAsia="Arial" w:cs="Arial"/>
        </w:rPr>
        <w:t xml:space="preserve"> of permitting the </w:t>
      </w:r>
      <w:r w:rsidR="41627D1F" w:rsidRPr="275699C5">
        <w:rPr>
          <w:rFonts w:eastAsia="Arial" w:cs="Arial"/>
        </w:rPr>
        <w:t>alternative</w:t>
      </w:r>
      <w:r w:rsidR="00256607">
        <w:rPr>
          <w:rFonts w:eastAsia="Arial" w:cs="Arial"/>
        </w:rPr>
        <w:t xml:space="preserve"> </w:t>
      </w:r>
      <w:r w:rsidR="00133AF5">
        <w:rPr>
          <w:rFonts w:eastAsia="Arial" w:cs="Arial"/>
        </w:rPr>
        <w:t>pregnancy warning mark</w:t>
      </w:r>
    </w:p>
    <w:p w14:paraId="6C10000C" w14:textId="1734B1D9" w:rsidR="00726C2F" w:rsidRDefault="12264164" w:rsidP="099E3555">
      <w:pPr>
        <w:rPr>
          <w:rFonts w:ascii="Century Gothic" w:eastAsia="Century Gothic" w:hAnsi="Century Gothic" w:cs="Century Gothic"/>
          <w:sz w:val="20"/>
          <w:szCs w:val="20"/>
          <w:lang w:val="en-AU"/>
        </w:rPr>
      </w:pPr>
      <w:r w:rsidRPr="399944A0">
        <w:rPr>
          <w:rFonts w:eastAsia="Arial" w:cs="Arial"/>
          <w:lang w:val="en-AU"/>
        </w:rPr>
        <w:t xml:space="preserve">Advice from across the </w:t>
      </w:r>
      <w:r w:rsidR="00D51D71" w:rsidRPr="399944A0">
        <w:rPr>
          <w:rFonts w:eastAsia="Arial" w:cs="Arial"/>
          <w:lang w:val="en-AU"/>
        </w:rPr>
        <w:t xml:space="preserve">printing </w:t>
      </w:r>
      <w:r w:rsidRPr="399944A0">
        <w:rPr>
          <w:rFonts w:eastAsia="Arial" w:cs="Arial"/>
          <w:lang w:val="en-AU"/>
        </w:rPr>
        <w:t xml:space="preserve">industry is that </w:t>
      </w:r>
      <w:r w:rsidR="35FFFD70" w:rsidRPr="399944A0">
        <w:rPr>
          <w:rFonts w:eastAsia="Arial" w:cs="Arial"/>
          <w:lang w:val="en-AU"/>
        </w:rPr>
        <w:t>if the size of the warning is increased it might lead to a small increase in cost due to an increased percentage of the box being covered in ink. However, this would</w:t>
      </w:r>
      <w:r w:rsidR="5E616304" w:rsidRPr="399944A0">
        <w:rPr>
          <w:rFonts w:eastAsia="Arial" w:cs="Arial"/>
          <w:lang w:val="en-AU"/>
        </w:rPr>
        <w:t xml:space="preserve"> be</w:t>
      </w:r>
      <w:r w:rsidR="35FFFD70" w:rsidRPr="399944A0">
        <w:rPr>
          <w:rFonts w:eastAsia="Arial" w:cs="Arial"/>
          <w:lang w:val="en-AU"/>
        </w:rPr>
        <w:t xml:space="preserve"> </w:t>
      </w:r>
      <w:r w:rsidR="6630ED3C" w:rsidRPr="399944A0">
        <w:rPr>
          <w:rFonts w:eastAsia="Arial" w:cs="Arial"/>
          <w:lang w:val="en-AU"/>
        </w:rPr>
        <w:t>more than offset</w:t>
      </w:r>
      <w:r w:rsidR="35FFFD70" w:rsidRPr="399944A0">
        <w:rPr>
          <w:rFonts w:eastAsia="Arial" w:cs="Arial"/>
          <w:lang w:val="en-AU"/>
        </w:rPr>
        <w:t xml:space="preserve"> </w:t>
      </w:r>
      <w:r w:rsidR="29C53BE4" w:rsidRPr="399944A0">
        <w:rPr>
          <w:rFonts w:eastAsia="Arial" w:cs="Arial"/>
          <w:lang w:val="en-AU"/>
        </w:rPr>
        <w:t xml:space="preserve">by </w:t>
      </w:r>
      <w:r w:rsidR="64B9C04E" w:rsidRPr="399944A0">
        <w:rPr>
          <w:rFonts w:eastAsia="Arial" w:cs="Arial"/>
          <w:lang w:val="en-AU"/>
        </w:rPr>
        <w:t>the</w:t>
      </w:r>
      <w:r w:rsidR="35FFFD70" w:rsidRPr="399944A0">
        <w:rPr>
          <w:rFonts w:eastAsia="Arial" w:cs="Arial"/>
          <w:lang w:val="en-AU"/>
        </w:rPr>
        <w:t xml:space="preserve"> cost saved by </w:t>
      </w:r>
      <w:r w:rsidR="00A81139" w:rsidRPr="399944A0">
        <w:rPr>
          <w:rFonts w:eastAsia="Arial" w:cs="Arial"/>
          <w:lang w:val="en-AU"/>
        </w:rPr>
        <w:t>not requiring</w:t>
      </w:r>
      <w:r w:rsidR="00304859" w:rsidRPr="399944A0">
        <w:rPr>
          <w:rFonts w:eastAsia="Arial" w:cs="Arial"/>
          <w:lang w:val="en-AU"/>
        </w:rPr>
        <w:t xml:space="preserve"> the warning label to be</w:t>
      </w:r>
      <w:r w:rsidR="002D76CF" w:rsidRPr="399944A0">
        <w:rPr>
          <w:rFonts w:eastAsia="Arial" w:cs="Arial"/>
          <w:lang w:val="en-AU"/>
        </w:rPr>
        <w:t xml:space="preserve"> on</w:t>
      </w:r>
      <w:r w:rsidR="00304859" w:rsidRPr="399944A0">
        <w:rPr>
          <w:rFonts w:eastAsia="Arial" w:cs="Arial"/>
          <w:lang w:val="en-AU"/>
        </w:rPr>
        <w:t xml:space="preserve"> a printed (white) background</w:t>
      </w:r>
      <w:r w:rsidR="002D76CF" w:rsidRPr="399944A0">
        <w:rPr>
          <w:rFonts w:eastAsia="Arial" w:cs="Arial"/>
          <w:lang w:val="en-AU"/>
        </w:rPr>
        <w:t xml:space="preserve"> and </w:t>
      </w:r>
      <w:r w:rsidR="004431D8" w:rsidRPr="399944A0">
        <w:rPr>
          <w:rFonts w:eastAsia="Arial" w:cs="Arial"/>
          <w:lang w:val="en-AU"/>
        </w:rPr>
        <w:t>permitting the warning label to be in a single colour</w:t>
      </w:r>
      <w:r w:rsidR="35FFFD70" w:rsidRPr="399944A0">
        <w:rPr>
          <w:rFonts w:eastAsia="Arial" w:cs="Arial"/>
          <w:lang w:val="en-AU"/>
        </w:rPr>
        <w:t>.</w:t>
      </w:r>
      <w:r w:rsidR="38B6330D" w:rsidRPr="399944A0">
        <w:rPr>
          <w:rFonts w:eastAsia="Arial" w:cs="Arial"/>
          <w:lang w:val="en-AU"/>
        </w:rPr>
        <w:t xml:space="preserve"> Therefore, the proposed change is likely to lead to </w:t>
      </w:r>
      <w:r w:rsidR="212571A7" w:rsidRPr="399944A0">
        <w:rPr>
          <w:rFonts w:eastAsia="Arial" w:cs="Arial"/>
          <w:lang w:val="en-AU"/>
        </w:rPr>
        <w:t>significant</w:t>
      </w:r>
      <w:r w:rsidR="38B6330D" w:rsidRPr="399944A0">
        <w:rPr>
          <w:rFonts w:eastAsia="Arial" w:cs="Arial"/>
          <w:lang w:val="en-AU"/>
        </w:rPr>
        <w:t xml:space="preserve"> cost savings to industry</w:t>
      </w:r>
      <w:r w:rsidR="2983EBCB" w:rsidRPr="399944A0">
        <w:rPr>
          <w:rFonts w:eastAsia="Arial" w:cs="Arial"/>
          <w:lang w:val="en-AU"/>
        </w:rPr>
        <w:t xml:space="preserve"> if </w:t>
      </w:r>
      <w:r w:rsidR="0C365EC3" w:rsidRPr="399944A0">
        <w:rPr>
          <w:rFonts w:eastAsia="Arial" w:cs="Arial"/>
          <w:lang w:val="en-AU"/>
        </w:rPr>
        <w:t>industry</w:t>
      </w:r>
      <w:r w:rsidR="2983EBCB" w:rsidRPr="399944A0">
        <w:rPr>
          <w:rFonts w:eastAsia="Arial" w:cs="Arial"/>
          <w:lang w:val="en-AU"/>
        </w:rPr>
        <w:t xml:space="preserve"> </w:t>
      </w:r>
      <w:r w:rsidR="620A936D" w:rsidRPr="399944A0">
        <w:rPr>
          <w:rFonts w:eastAsia="Arial" w:cs="Arial"/>
          <w:lang w:val="en-AU"/>
        </w:rPr>
        <w:t xml:space="preserve">participants </w:t>
      </w:r>
      <w:r w:rsidR="2983EBCB" w:rsidRPr="399944A0">
        <w:rPr>
          <w:rFonts w:eastAsia="Arial" w:cs="Arial"/>
          <w:lang w:val="en-AU"/>
        </w:rPr>
        <w:t xml:space="preserve">decide to </w:t>
      </w:r>
      <w:r w:rsidR="2BF73F5F" w:rsidRPr="399944A0">
        <w:rPr>
          <w:rFonts w:eastAsia="Arial" w:cs="Arial"/>
          <w:lang w:val="en-AU"/>
        </w:rPr>
        <w:t>satisfy</w:t>
      </w:r>
      <w:r w:rsidR="2983EBCB" w:rsidRPr="399944A0">
        <w:rPr>
          <w:rFonts w:eastAsia="Arial" w:cs="Arial"/>
          <w:lang w:val="en-AU"/>
        </w:rPr>
        <w:t xml:space="preserve"> these </w:t>
      </w:r>
      <w:r w:rsidR="238159E3" w:rsidRPr="0E6AEC97">
        <w:rPr>
          <w:rFonts w:eastAsia="Arial" w:cs="Arial"/>
          <w:lang w:val="en-AU"/>
        </w:rPr>
        <w:t>alternative</w:t>
      </w:r>
      <w:r w:rsidR="2983EBCB" w:rsidRPr="399944A0">
        <w:rPr>
          <w:rFonts w:eastAsia="Arial" w:cs="Arial"/>
          <w:lang w:val="en-AU"/>
        </w:rPr>
        <w:t xml:space="preserve"> </w:t>
      </w:r>
      <w:r w:rsidR="31CA5788" w:rsidRPr="399944A0">
        <w:rPr>
          <w:rFonts w:eastAsia="Arial" w:cs="Arial"/>
          <w:lang w:val="en-AU"/>
        </w:rPr>
        <w:t>requirements</w:t>
      </w:r>
      <w:r w:rsidR="2983EBCB" w:rsidRPr="399944A0">
        <w:rPr>
          <w:rFonts w:eastAsia="Arial" w:cs="Arial"/>
          <w:lang w:val="en-AU"/>
        </w:rPr>
        <w:t xml:space="preserve"> to achieve </w:t>
      </w:r>
      <w:r w:rsidR="73E13B52" w:rsidRPr="399944A0">
        <w:rPr>
          <w:rFonts w:eastAsia="Arial" w:cs="Arial"/>
          <w:lang w:val="en-AU"/>
        </w:rPr>
        <w:t>compliance</w:t>
      </w:r>
      <w:r w:rsidR="2983EBCB" w:rsidRPr="099E3555">
        <w:rPr>
          <w:rFonts w:ascii="Century Gothic" w:eastAsia="Century Gothic" w:hAnsi="Century Gothic" w:cs="Century Gothic"/>
          <w:sz w:val="20"/>
          <w:szCs w:val="20"/>
          <w:lang w:val="en-AU"/>
        </w:rPr>
        <w:t>.</w:t>
      </w:r>
    </w:p>
    <w:p w14:paraId="543B8104" w14:textId="718DA872" w:rsidR="00726C2F" w:rsidRDefault="00726C2F" w:rsidP="099E3555">
      <w:pPr>
        <w:rPr>
          <w:szCs w:val="22"/>
          <w:lang w:val="en-AU"/>
        </w:rPr>
      </w:pPr>
    </w:p>
    <w:p w14:paraId="376C2813" w14:textId="1E6C6D95" w:rsidR="005F13BF" w:rsidRDefault="4A7A281E" w:rsidP="005F13BF">
      <w:r w:rsidRPr="11ED39CB">
        <w:rPr>
          <w:rFonts w:eastAsia="Arial" w:cs="Arial"/>
          <w:lang w:val="en-AU"/>
        </w:rPr>
        <w:t>The efficacy of labelling will be maintained</w:t>
      </w:r>
      <w:r w:rsidR="006E2315">
        <w:rPr>
          <w:rFonts w:eastAsia="Arial" w:cs="Arial"/>
          <w:lang w:val="en-AU"/>
        </w:rPr>
        <w:t>,</w:t>
      </w:r>
      <w:r w:rsidR="005F13BF">
        <w:t xml:space="preserve"> </w:t>
      </w:r>
      <w:r w:rsidR="00B1303C">
        <w:t xml:space="preserve">alerting </w:t>
      </w:r>
      <w:r w:rsidR="005F13BF">
        <w:t>consumers about the risks of drinking alcohol during pregnancy and enabl</w:t>
      </w:r>
      <w:r w:rsidR="00B1303C">
        <w:t>ing</w:t>
      </w:r>
      <w:r w:rsidR="005F13BF">
        <w:t xml:space="preserve"> them to make an informed choice. </w:t>
      </w:r>
    </w:p>
    <w:p w14:paraId="0782200A" w14:textId="77777777" w:rsidR="00B1303C" w:rsidRDefault="00B1303C" w:rsidP="005F13BF"/>
    <w:p w14:paraId="14778880" w14:textId="0806CEC1" w:rsidR="00726C2F" w:rsidRDefault="00726C2F" w:rsidP="099E3555">
      <w:pPr>
        <w:rPr>
          <w:rFonts w:eastAsia="Arial" w:cs="Arial"/>
          <w:szCs w:val="22"/>
          <w:lang w:val="en-AU"/>
        </w:rPr>
      </w:pPr>
    </w:p>
    <w:p w14:paraId="2E30EA67" w14:textId="1735EF27" w:rsidR="00726C2F" w:rsidRPr="00C75927" w:rsidRDefault="16C5E5AF" w:rsidP="099E3555">
      <w:pPr>
        <w:rPr>
          <w:rFonts w:eastAsia="Arial" w:cs="Arial"/>
          <w:lang w:val="en-AU"/>
        </w:rPr>
      </w:pPr>
      <w:r w:rsidRPr="650B3713">
        <w:rPr>
          <w:rFonts w:eastAsia="Arial" w:cs="Arial"/>
          <w:lang w:val="en-AU"/>
        </w:rPr>
        <w:t xml:space="preserve">Beyond making compliance officers aware of the </w:t>
      </w:r>
      <w:r w:rsidR="2C24B138" w:rsidRPr="56173105">
        <w:rPr>
          <w:rFonts w:eastAsia="Arial" w:cs="Arial"/>
          <w:lang w:val="en-AU"/>
        </w:rPr>
        <w:t>alternative</w:t>
      </w:r>
      <w:r w:rsidR="002B1A4F">
        <w:rPr>
          <w:rFonts w:eastAsia="Arial" w:cs="Arial"/>
          <w:lang w:val="en-AU"/>
        </w:rPr>
        <w:t xml:space="preserve"> </w:t>
      </w:r>
      <w:r w:rsidR="022ADAE5" w:rsidRPr="650B3713">
        <w:rPr>
          <w:rFonts w:eastAsia="Arial" w:cs="Arial"/>
          <w:lang w:val="en-AU"/>
        </w:rPr>
        <w:t xml:space="preserve">requirements that can </w:t>
      </w:r>
      <w:r w:rsidR="003A3627" w:rsidRPr="650B3713">
        <w:rPr>
          <w:rFonts w:eastAsia="Arial" w:cs="Arial"/>
          <w:lang w:val="en-AU"/>
        </w:rPr>
        <w:t xml:space="preserve">be </w:t>
      </w:r>
      <w:r w:rsidR="22EBE192" w:rsidRPr="650B3713">
        <w:rPr>
          <w:rFonts w:eastAsia="Arial" w:cs="Arial"/>
          <w:lang w:val="en-AU"/>
        </w:rPr>
        <w:t>satisfied</w:t>
      </w:r>
      <w:r w:rsidR="022ADAE5" w:rsidRPr="650B3713">
        <w:rPr>
          <w:rFonts w:eastAsia="Arial" w:cs="Arial"/>
          <w:lang w:val="en-AU"/>
        </w:rPr>
        <w:t xml:space="preserve"> to achieve compliance, the Government is unlikely to encounter any additional costs.</w:t>
      </w:r>
    </w:p>
    <w:p w14:paraId="5FC3BE57" w14:textId="54BCD6C4" w:rsidR="00726C2F" w:rsidRDefault="430A6F3C" w:rsidP="099E3555">
      <w:pPr>
        <w:pStyle w:val="Heading5"/>
        <w:ind w:left="0" w:firstLine="0"/>
        <w:rPr>
          <w:rFonts w:eastAsia="Arial" w:cs="Arial"/>
        </w:rPr>
      </w:pPr>
      <w:r w:rsidRPr="099E3555">
        <w:rPr>
          <w:rFonts w:eastAsia="Arial" w:cs="Arial"/>
        </w:rPr>
        <w:t>Conclusions from cost benefit considerations</w:t>
      </w:r>
    </w:p>
    <w:p w14:paraId="2EBC3028" w14:textId="14ABAC71" w:rsidR="009F1BCF" w:rsidRPr="00125BED" w:rsidRDefault="430A6F3C" w:rsidP="00726C2F">
      <w:pPr>
        <w:rPr>
          <w:rFonts w:eastAsia="Arial" w:cs="Arial"/>
        </w:rPr>
      </w:pPr>
      <w:r w:rsidRPr="099E3555">
        <w:rPr>
          <w:rFonts w:eastAsia="Arial" w:cs="Arial"/>
        </w:rPr>
        <w:t>FSANZ’s assessment is that the direct and indirect benefits that would arise from</w:t>
      </w:r>
      <w:r w:rsidR="766F262E" w:rsidRPr="099E3555">
        <w:rPr>
          <w:rFonts w:eastAsia="Arial" w:cs="Arial"/>
        </w:rPr>
        <w:t xml:space="preserve"> option 3</w:t>
      </w:r>
      <w:r w:rsidRPr="099E3555">
        <w:rPr>
          <w:rFonts w:eastAsia="Arial" w:cs="Arial"/>
        </w:rPr>
        <w:t xml:space="preserve"> most likely outweigh the associated costs. </w:t>
      </w:r>
    </w:p>
    <w:p w14:paraId="04904215" w14:textId="4EADCF2B" w:rsidR="00726C2F" w:rsidRDefault="00726C2F" w:rsidP="00726C2F">
      <w:pPr>
        <w:pStyle w:val="Heading4"/>
      </w:pPr>
      <w:r>
        <w:t>2.</w:t>
      </w:r>
      <w:r w:rsidR="00874B4F">
        <w:t>5</w:t>
      </w:r>
      <w:r>
        <w:t>.1.2</w:t>
      </w:r>
      <w:r>
        <w:tab/>
        <w:t>Other measures</w:t>
      </w:r>
    </w:p>
    <w:p w14:paraId="2D43C10C" w14:textId="230DE200"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w:t>
      </w:r>
      <w:r w:rsidR="00B51AFA">
        <w:t xml:space="preserve"> the proposed</w:t>
      </w:r>
      <w:r>
        <w:t xml:space="preserve"> food regulatory measure developed or varied as a result of the </w:t>
      </w:r>
      <w:r w:rsidR="00B51AFA" w:rsidRPr="00B51AFA">
        <w:t>application.</w:t>
      </w:r>
    </w:p>
    <w:p w14:paraId="1B51C3A7" w14:textId="28BEA03A" w:rsidR="00726C2F" w:rsidRDefault="008B0075" w:rsidP="008B0075">
      <w:pPr>
        <w:pStyle w:val="Heading4"/>
      </w:pPr>
      <w:r>
        <w:t>2.</w:t>
      </w:r>
      <w:r w:rsidR="00874B4F">
        <w:t>5</w:t>
      </w:r>
      <w:r>
        <w:t>.1.3</w:t>
      </w:r>
      <w:r>
        <w:tab/>
        <w:t>A</w:t>
      </w:r>
      <w:r w:rsidR="00726C2F" w:rsidRPr="00914030">
        <w:t>ny relevant New Zealand standards</w:t>
      </w:r>
    </w:p>
    <w:p w14:paraId="2ACB8C6D" w14:textId="5BC88442" w:rsidR="008B0075" w:rsidRDefault="00B51AFA" w:rsidP="008B0075">
      <w:pPr>
        <w:rPr>
          <w:lang w:bidi="ar-SA"/>
        </w:rPr>
      </w:pPr>
      <w:r w:rsidRPr="00A447B3">
        <w:rPr>
          <w:lang w:bidi="ar-SA"/>
        </w:rPr>
        <w:t xml:space="preserve">The </w:t>
      </w:r>
      <w:r>
        <w:rPr>
          <w:lang w:bidi="ar-SA"/>
        </w:rPr>
        <w:t>relevant standards apply in</w:t>
      </w:r>
      <w:r w:rsidRPr="00A447B3">
        <w:rPr>
          <w:lang w:bidi="ar-SA"/>
        </w:rPr>
        <w:t xml:space="preserve"> both Australia and New Zealand. </w:t>
      </w:r>
      <w:r w:rsidR="008B0075">
        <w:rPr>
          <w:lang w:bidi="ar-SA"/>
        </w:rPr>
        <w:t xml:space="preserve">There are no relevant New Zealand </w:t>
      </w:r>
      <w:r>
        <w:rPr>
          <w:lang w:bidi="ar-SA"/>
        </w:rPr>
        <w:t>only s</w:t>
      </w:r>
      <w:r w:rsidR="008B0075">
        <w:rPr>
          <w:lang w:bidi="ar-SA"/>
        </w:rPr>
        <w:t>tandards.</w:t>
      </w:r>
    </w:p>
    <w:p w14:paraId="43433C8C" w14:textId="23641AC4" w:rsidR="008B5567" w:rsidRDefault="00BE3818" w:rsidP="00B51AFA">
      <w:pPr>
        <w:pStyle w:val="Heading4"/>
      </w:pPr>
      <w:r>
        <w:t>2.</w:t>
      </w:r>
      <w:r w:rsidR="00874B4F">
        <w:t>5</w:t>
      </w:r>
      <w:r>
        <w:t>.1.4</w:t>
      </w:r>
      <w:r>
        <w:tab/>
      </w:r>
      <w:r w:rsidR="0027513D">
        <w:t>A</w:t>
      </w:r>
      <w:r>
        <w:t>ny other relevant matters</w:t>
      </w:r>
    </w:p>
    <w:p w14:paraId="0576B0A9" w14:textId="77777777" w:rsidR="00BE3818" w:rsidRDefault="008B5567" w:rsidP="00BE3818">
      <w:pPr>
        <w:rPr>
          <w:lang w:bidi="ar-SA"/>
        </w:rPr>
      </w:pPr>
      <w:r>
        <w:t>Other relevant matters are considered below</w:t>
      </w:r>
      <w:r w:rsidR="00BE3818">
        <w:rPr>
          <w:lang w:bidi="ar-SA"/>
        </w:rPr>
        <w:t>.</w:t>
      </w:r>
      <w:r>
        <w:t xml:space="preserve"> </w:t>
      </w:r>
    </w:p>
    <w:p w14:paraId="35640927" w14:textId="0E80834E" w:rsidR="00022DBC" w:rsidRPr="00914030" w:rsidRDefault="00BE3818" w:rsidP="00022DBC">
      <w:pPr>
        <w:pStyle w:val="Heading3"/>
      </w:pPr>
      <w:bookmarkStart w:id="67" w:name="_Toc300761897"/>
      <w:bookmarkStart w:id="68" w:name="_Toc300933440"/>
      <w:r>
        <w:t>2.</w:t>
      </w:r>
      <w:r w:rsidR="00874B4F">
        <w:t>5</w:t>
      </w:r>
      <w:r>
        <w:t>.2</w:t>
      </w:r>
      <w:r w:rsidR="00022DBC" w:rsidRPr="00914030">
        <w:t>.</w:t>
      </w:r>
      <w:r w:rsidR="00022DBC" w:rsidRPr="00914030">
        <w:tab/>
      </w:r>
      <w:r>
        <w:t xml:space="preserve">Subsection 18(1) </w:t>
      </w:r>
      <w:bookmarkEnd w:id="67"/>
      <w:bookmarkEnd w:id="68"/>
    </w:p>
    <w:p w14:paraId="59BFFB20"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3511F249" w14:textId="126DC6DA" w:rsidR="00022DBC" w:rsidRPr="00914030" w:rsidRDefault="00BE3818" w:rsidP="00022DBC">
      <w:pPr>
        <w:pStyle w:val="Heading4"/>
        <w:rPr>
          <w:lang w:eastAsia="en-AU"/>
        </w:rPr>
      </w:pPr>
      <w:bookmarkStart w:id="69" w:name="_Toc297029117"/>
      <w:bookmarkStart w:id="70" w:name="_Toc300761898"/>
      <w:bookmarkStart w:id="71" w:name="_Toc300933441"/>
      <w:r>
        <w:rPr>
          <w:lang w:eastAsia="en-AU"/>
        </w:rPr>
        <w:t>2.</w:t>
      </w:r>
      <w:r w:rsidR="00874B4F">
        <w:rPr>
          <w:lang w:eastAsia="en-AU"/>
        </w:rPr>
        <w:t>5</w:t>
      </w:r>
      <w:r>
        <w:rPr>
          <w:lang w:eastAsia="en-AU"/>
        </w:rPr>
        <w:t>.2</w:t>
      </w:r>
      <w:r w:rsidR="00022DBC" w:rsidRPr="00914030">
        <w:rPr>
          <w:lang w:eastAsia="en-AU"/>
        </w:rPr>
        <w:t>.1</w:t>
      </w:r>
      <w:r w:rsidR="00022DBC" w:rsidRPr="00914030">
        <w:rPr>
          <w:lang w:eastAsia="en-AU"/>
        </w:rPr>
        <w:tab/>
        <w:t>Protection of public health and safety</w:t>
      </w:r>
      <w:bookmarkEnd w:id="69"/>
      <w:bookmarkEnd w:id="70"/>
      <w:bookmarkEnd w:id="71"/>
    </w:p>
    <w:p w14:paraId="04CF6FDE" w14:textId="61F28247" w:rsidR="00B51AFA" w:rsidRDefault="00B51AFA" w:rsidP="00B51AFA">
      <w:bookmarkStart w:id="72" w:name="_Toc300761899"/>
      <w:bookmarkStart w:id="73" w:name="_Toc300933442"/>
      <w:r>
        <w:t xml:space="preserve">The </w:t>
      </w:r>
      <w:r w:rsidR="00315E57">
        <w:t>alternative</w:t>
      </w:r>
      <w:r>
        <w:t xml:space="preserve"> pregnancy warning mark for use only under specific circumstances as </w:t>
      </w:r>
      <w:r w:rsidRPr="004C6853">
        <w:t xml:space="preserve">described in section </w:t>
      </w:r>
      <w:r w:rsidR="004C6853" w:rsidRPr="004C6853">
        <w:t>2.3</w:t>
      </w:r>
      <w:r w:rsidRPr="004C6853">
        <w:t xml:space="preserve"> above,</w:t>
      </w:r>
      <w:r>
        <w:t xml:space="preserve"> will maintain the effectiveness of the warning label</w:t>
      </w:r>
      <w:r w:rsidR="00804FD2">
        <w:t xml:space="preserve"> whilst enabling industry to resolve technical misalignment issues for a very small proportion of </w:t>
      </w:r>
      <w:r w:rsidR="00AD3EDF">
        <w:t xml:space="preserve">packaging </w:t>
      </w:r>
      <w:r w:rsidR="006503E4">
        <w:t>used for</w:t>
      </w:r>
      <w:r w:rsidR="00AD3EDF">
        <w:t xml:space="preserve"> alcoholic beverages</w:t>
      </w:r>
      <w:r>
        <w:t>. As for the warning label on individual units of alcoholic beverages and other (non CC</w:t>
      </w:r>
      <w:r w:rsidR="00804FD2">
        <w:t>)</w:t>
      </w:r>
      <w:r>
        <w:t xml:space="preserve"> packaging, the </w:t>
      </w:r>
      <w:r w:rsidR="00315E57">
        <w:t>alternative</w:t>
      </w:r>
      <w:r w:rsidR="00804EAC">
        <w:t xml:space="preserve"> </w:t>
      </w:r>
      <w:r>
        <w:t xml:space="preserve">pregnancy warning mark supports Australia and New Zealand governments’ public health advice and messages for women not to drink alcohol during pregnancy to reduce the risk to the health and safety of the unborn child. </w:t>
      </w:r>
    </w:p>
    <w:p w14:paraId="73F1D9CA" w14:textId="42CDD925" w:rsidR="00022DBC" w:rsidRPr="00914030" w:rsidRDefault="00BE3818" w:rsidP="00022DBC">
      <w:pPr>
        <w:pStyle w:val="Heading4"/>
        <w:rPr>
          <w:lang w:eastAsia="en-AU"/>
        </w:rPr>
      </w:pPr>
      <w:r>
        <w:rPr>
          <w:lang w:eastAsia="en-AU"/>
        </w:rPr>
        <w:t>2.</w:t>
      </w:r>
      <w:r w:rsidR="00874B4F">
        <w:rPr>
          <w:lang w:eastAsia="en-AU"/>
        </w:rPr>
        <w:t>5</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2"/>
      <w:bookmarkEnd w:id="73"/>
    </w:p>
    <w:p w14:paraId="46B882BA" w14:textId="74D3A744" w:rsidR="00FB650D" w:rsidRDefault="00FB650D" w:rsidP="00FB650D">
      <w:bookmarkStart w:id="74" w:name="_Toc300761900"/>
      <w:bookmarkStart w:id="75" w:name="_Toc300933443"/>
      <w:r>
        <w:t xml:space="preserve">The proposed </w:t>
      </w:r>
      <w:r w:rsidR="0061318B">
        <w:t>alternative</w:t>
      </w:r>
      <w:r w:rsidR="00804EAC">
        <w:t xml:space="preserve"> </w:t>
      </w:r>
      <w:r>
        <w:t>pregnancy warning mark w</w:t>
      </w:r>
      <w:r w:rsidR="00E612ED">
        <w:t>ould maintain</w:t>
      </w:r>
      <w:r w:rsidR="001F6098">
        <w:t xml:space="preserve"> </w:t>
      </w:r>
      <w:r w:rsidR="005F5509">
        <w:t>a no</w:t>
      </w:r>
      <w:r w:rsidR="001F6098">
        <w:t>ticeable and understandable</w:t>
      </w:r>
      <w:r w:rsidR="00E612ED">
        <w:t xml:space="preserve"> warning </w:t>
      </w:r>
      <w:r>
        <w:t xml:space="preserve">on alcoholic beverages </w:t>
      </w:r>
      <w:r w:rsidR="00E612ED">
        <w:t>packaged in CC (</w:t>
      </w:r>
      <w:r w:rsidR="004F49B2">
        <w:t xml:space="preserve">meeting the specific conditions described in </w:t>
      </w:r>
      <w:r w:rsidR="004F49B2" w:rsidRPr="004C6853">
        <w:t xml:space="preserve">section </w:t>
      </w:r>
      <w:r w:rsidR="004C6853" w:rsidRPr="004C6853">
        <w:t>2.3</w:t>
      </w:r>
      <w:r w:rsidR="004F49B2" w:rsidRPr="004C6853">
        <w:t xml:space="preserve">) </w:t>
      </w:r>
      <w:r w:rsidRPr="004C6853">
        <w:t>to</w:t>
      </w:r>
      <w:r>
        <w:t xml:space="preserve"> alert consumers about the risks of drinking alcohol during pregnancy and enable them to make an informed choice. </w:t>
      </w:r>
    </w:p>
    <w:p w14:paraId="60CD79DC" w14:textId="51F95835" w:rsidR="00022DBC" w:rsidRPr="00914030" w:rsidRDefault="00BE3818" w:rsidP="00022DBC">
      <w:pPr>
        <w:pStyle w:val="Heading4"/>
        <w:rPr>
          <w:lang w:eastAsia="en-AU"/>
        </w:rPr>
      </w:pPr>
      <w:r>
        <w:rPr>
          <w:lang w:eastAsia="en-AU"/>
        </w:rPr>
        <w:t>2.</w:t>
      </w:r>
      <w:r w:rsidR="00874B4F">
        <w:rPr>
          <w:lang w:eastAsia="en-AU"/>
        </w:rPr>
        <w:t>5</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4"/>
      <w:bookmarkEnd w:id="75"/>
    </w:p>
    <w:p w14:paraId="7BD31466" w14:textId="77777777" w:rsidR="00936539" w:rsidRPr="00936539" w:rsidRDefault="00936539" w:rsidP="001446CC">
      <w:bookmarkStart w:id="76" w:name="_Toc300761901"/>
      <w:bookmarkStart w:id="77" w:name="_Toc300933444"/>
      <w:r w:rsidRPr="00936539">
        <w:t>FSANZ has not identified any issues relevant to this matter.</w:t>
      </w:r>
    </w:p>
    <w:p w14:paraId="43D4091F" w14:textId="39FEB784" w:rsidR="00022DBC" w:rsidRPr="00914030" w:rsidRDefault="00B51E03" w:rsidP="00B51E03">
      <w:pPr>
        <w:pStyle w:val="Heading3"/>
      </w:pPr>
      <w:r>
        <w:lastRenderedPageBreak/>
        <w:t>2.</w:t>
      </w:r>
      <w:r w:rsidR="00090C81">
        <w:t>5</w:t>
      </w:r>
      <w:r>
        <w:t>.3</w:t>
      </w:r>
      <w:r w:rsidR="00022DBC" w:rsidRPr="00914030">
        <w:tab/>
        <w:t xml:space="preserve">Subsection 18(2) </w:t>
      </w:r>
      <w:bookmarkEnd w:id="76"/>
      <w:bookmarkEnd w:id="77"/>
      <w:r w:rsidR="00022DBC" w:rsidRPr="00914030">
        <w:t>considerations</w:t>
      </w:r>
    </w:p>
    <w:p w14:paraId="386ECBF8" w14:textId="77777777" w:rsidR="00022DBC" w:rsidRPr="00914030" w:rsidRDefault="00022DBC" w:rsidP="00022DBC">
      <w:pPr>
        <w:rPr>
          <w:rFonts w:cs="Arial"/>
        </w:rPr>
      </w:pPr>
      <w:r w:rsidRPr="00914030">
        <w:rPr>
          <w:rFonts w:cs="Arial"/>
        </w:rPr>
        <w:t>FSANZ has also had regard to:</w:t>
      </w:r>
    </w:p>
    <w:p w14:paraId="0D93BD8B" w14:textId="77777777" w:rsidR="00022DBC" w:rsidRPr="00914030" w:rsidRDefault="00022DBC" w:rsidP="00022DBC">
      <w:pPr>
        <w:rPr>
          <w:rFonts w:cs="Arial"/>
        </w:rPr>
      </w:pPr>
    </w:p>
    <w:p w14:paraId="77DB25CE" w14:textId="77777777" w:rsidR="00022DBC" w:rsidRPr="008828D9" w:rsidRDefault="00022DBC" w:rsidP="00EF2E9D">
      <w:pPr>
        <w:pStyle w:val="FSBullet1"/>
        <w:ind w:left="567" w:hanging="567"/>
        <w:rPr>
          <w:b/>
        </w:rPr>
      </w:pPr>
      <w:r w:rsidRPr="008828D9">
        <w:rPr>
          <w:b/>
        </w:rPr>
        <w:t>the need for standards to be based on risk analysis using the best available scientific evidence</w:t>
      </w:r>
    </w:p>
    <w:p w14:paraId="2D464566" w14:textId="77777777" w:rsidR="008828D9" w:rsidRDefault="008828D9" w:rsidP="008828D9">
      <w:pPr>
        <w:rPr>
          <w:lang w:bidi="ar-SA"/>
        </w:rPr>
      </w:pPr>
    </w:p>
    <w:p w14:paraId="7BE133BE" w14:textId="2F1A269D" w:rsidR="008828D9" w:rsidRPr="00EF2E9D" w:rsidRDefault="00973F17" w:rsidP="008828D9">
      <w:r>
        <w:t xml:space="preserve">FSANZ has used the best available evidence in this assessment. </w:t>
      </w:r>
      <w:r w:rsidR="00EF2E9D">
        <w:t xml:space="preserve">FSANZ </w:t>
      </w:r>
      <w:r w:rsidR="003E29E0">
        <w:t>drew</w:t>
      </w:r>
      <w:r w:rsidR="006F4CEF">
        <w:t xml:space="preserve"> on</w:t>
      </w:r>
      <w:r w:rsidR="00EF2E9D">
        <w:t xml:space="preserve"> the </w:t>
      </w:r>
      <w:r w:rsidR="00AA7847">
        <w:t xml:space="preserve">evidence </w:t>
      </w:r>
      <w:r w:rsidR="006F4CEF">
        <w:t>review prepared for Proposal P1050 to support</w:t>
      </w:r>
      <w:r w:rsidR="00120ED4">
        <w:t xml:space="preserve"> the assessment and </w:t>
      </w:r>
      <w:r w:rsidR="00F84FE5">
        <w:t>the consideration of options to address the technical printing issue</w:t>
      </w:r>
      <w:r w:rsidR="003E29E0">
        <w:t xml:space="preserve"> and maintain l</w:t>
      </w:r>
      <w:r w:rsidR="00A313BF">
        <w:t>a</w:t>
      </w:r>
      <w:r w:rsidR="003E29E0">
        <w:t>bel effectiveness</w:t>
      </w:r>
      <w:r w:rsidR="00F84FE5">
        <w:t>.</w:t>
      </w:r>
      <w:r w:rsidR="003E29E0">
        <w:t xml:space="preserve"> FSANZ is </w:t>
      </w:r>
      <w:r w:rsidR="00A313BF">
        <w:t>satisfied</w:t>
      </w:r>
      <w:r w:rsidR="003E29E0">
        <w:t xml:space="preserve"> the P1050 evid</w:t>
      </w:r>
      <w:r w:rsidR="00A313BF">
        <w:t>e</w:t>
      </w:r>
      <w:r w:rsidR="003E29E0">
        <w:t xml:space="preserve">nce is the best available evidence. </w:t>
      </w:r>
      <w:r w:rsidR="00BB6F14">
        <w:t>T</w:t>
      </w:r>
      <w:r w:rsidR="0076299C">
        <w:t>he applicant submitted</w:t>
      </w:r>
      <w:r w:rsidR="001A0D6C">
        <w:t xml:space="preserve"> information </w:t>
      </w:r>
      <w:r w:rsidR="00BB6F14">
        <w:t xml:space="preserve">on the technical printing issue and FSANZ </w:t>
      </w:r>
      <w:r>
        <w:t>obtained additional evidence</w:t>
      </w:r>
      <w:r w:rsidR="00BB6F14">
        <w:t xml:space="preserve"> from CC printers in Australia and New Zealand.</w:t>
      </w:r>
    </w:p>
    <w:p w14:paraId="098AEA20" w14:textId="77777777" w:rsidR="008828D9" w:rsidRPr="008828D9" w:rsidRDefault="008828D9" w:rsidP="008828D9">
      <w:pPr>
        <w:rPr>
          <w:lang w:bidi="ar-SA"/>
        </w:rPr>
      </w:pPr>
    </w:p>
    <w:p w14:paraId="314488E5" w14:textId="77777777" w:rsidR="00022DBC" w:rsidRPr="008828D9" w:rsidRDefault="00022DBC" w:rsidP="00022DBC">
      <w:pPr>
        <w:pStyle w:val="FSBullet1"/>
        <w:rPr>
          <w:b/>
        </w:rPr>
      </w:pPr>
      <w:r w:rsidRPr="008828D9">
        <w:rPr>
          <w:b/>
        </w:rPr>
        <w:t>the promotion of consistency between domestic and international food standards</w:t>
      </w:r>
    </w:p>
    <w:p w14:paraId="2D4486AB" w14:textId="77777777" w:rsidR="008828D9" w:rsidRDefault="008828D9" w:rsidP="008828D9">
      <w:pPr>
        <w:rPr>
          <w:lang w:bidi="ar-SA"/>
        </w:rPr>
      </w:pPr>
    </w:p>
    <w:p w14:paraId="48CEA632" w14:textId="20473306" w:rsidR="008828D9" w:rsidRDefault="00DC6E5B" w:rsidP="008828D9">
      <w:r>
        <w:t>FSANZ is unaware of</w:t>
      </w:r>
      <w:r w:rsidR="0057033F" w:rsidRPr="004F3DF4">
        <w:t xml:space="preserve"> international food standards directly relevant to this application</w:t>
      </w:r>
      <w:r w:rsidR="00711496">
        <w:t>.</w:t>
      </w:r>
    </w:p>
    <w:p w14:paraId="1DA751C1" w14:textId="77777777" w:rsidR="0057033F" w:rsidRPr="0057033F" w:rsidRDefault="0057033F" w:rsidP="008828D9">
      <w:pPr>
        <w:rPr>
          <w:lang w:bidi="ar-SA"/>
        </w:rPr>
      </w:pPr>
    </w:p>
    <w:p w14:paraId="3ACAA94D" w14:textId="77777777" w:rsidR="00022DBC" w:rsidRPr="008828D9" w:rsidRDefault="00022DBC" w:rsidP="00022DBC">
      <w:pPr>
        <w:pStyle w:val="FSBullet1"/>
        <w:rPr>
          <w:b/>
        </w:rPr>
      </w:pPr>
      <w:r w:rsidRPr="008828D9">
        <w:rPr>
          <w:b/>
        </w:rPr>
        <w:t>the desirability of an efficient and internationally competitive food industry</w:t>
      </w:r>
    </w:p>
    <w:p w14:paraId="0BCDC059" w14:textId="77777777" w:rsidR="008828D9" w:rsidRDefault="008828D9" w:rsidP="008828D9">
      <w:pPr>
        <w:rPr>
          <w:lang w:bidi="ar-SA"/>
        </w:rPr>
      </w:pPr>
    </w:p>
    <w:p w14:paraId="6F58D3D8" w14:textId="0A7082C5" w:rsidR="008828D9" w:rsidRPr="00711496" w:rsidRDefault="00963CC6" w:rsidP="008828D9">
      <w:r>
        <w:t xml:space="preserve">FSANZ does not anticipate any significant impact on efficiency and international competition. </w:t>
      </w:r>
      <w:r w:rsidR="00711496">
        <w:t xml:space="preserve">The proposed approach will </w:t>
      </w:r>
      <w:r w:rsidR="00F60C1A">
        <w:t xml:space="preserve">also </w:t>
      </w:r>
      <w:r w:rsidR="005153CB">
        <w:t xml:space="preserve">provide an </w:t>
      </w:r>
      <w:r w:rsidR="009670EB">
        <w:t>alternative</w:t>
      </w:r>
      <w:r w:rsidR="005153CB">
        <w:t xml:space="preserve"> pregnancy </w:t>
      </w:r>
      <w:r w:rsidR="00D771A4">
        <w:t xml:space="preserve">warning </w:t>
      </w:r>
      <w:r w:rsidR="005153CB">
        <w:t xml:space="preserve">mark for producers exporting alcoholic beverages in </w:t>
      </w:r>
      <w:r w:rsidR="00922AB8">
        <w:t>CC</w:t>
      </w:r>
      <w:r w:rsidR="00F60C1A">
        <w:t xml:space="preserve"> packaging</w:t>
      </w:r>
      <w:r w:rsidR="00922AB8">
        <w:t xml:space="preserve"> </w:t>
      </w:r>
      <w:r w:rsidR="00F60C1A">
        <w:t xml:space="preserve">to Australia and New Zealand (providing the packaging meets the conditions for use of the </w:t>
      </w:r>
      <w:r w:rsidR="009670EB">
        <w:t>alternative</w:t>
      </w:r>
      <w:r w:rsidR="00F60C1A">
        <w:t xml:space="preserve"> pregnancy warning mark).</w:t>
      </w:r>
    </w:p>
    <w:p w14:paraId="3DC40A8B" w14:textId="77777777" w:rsidR="008828D9" w:rsidRPr="008828D9" w:rsidRDefault="008828D9" w:rsidP="008828D9">
      <w:pPr>
        <w:rPr>
          <w:lang w:bidi="ar-SA"/>
        </w:rPr>
      </w:pPr>
    </w:p>
    <w:p w14:paraId="24D540C1" w14:textId="77777777" w:rsidR="00022DBC" w:rsidRPr="008828D9" w:rsidRDefault="00022DBC" w:rsidP="00022DBC">
      <w:pPr>
        <w:pStyle w:val="FSBullet1"/>
        <w:rPr>
          <w:b/>
        </w:rPr>
      </w:pPr>
      <w:r w:rsidRPr="008828D9">
        <w:rPr>
          <w:b/>
        </w:rPr>
        <w:t>the promotion of fair trading in food</w:t>
      </w:r>
    </w:p>
    <w:p w14:paraId="2421DFD1" w14:textId="77777777" w:rsidR="008828D9" w:rsidRDefault="008828D9" w:rsidP="008828D9">
      <w:pPr>
        <w:rPr>
          <w:lang w:bidi="ar-SA"/>
        </w:rPr>
      </w:pPr>
    </w:p>
    <w:p w14:paraId="45FBD31B" w14:textId="23C7B134" w:rsidR="008828D9" w:rsidRDefault="00195972" w:rsidP="008828D9">
      <w:r w:rsidRPr="004B165C">
        <w:t>FSANZ has not identified any issues relevant to this matter.</w:t>
      </w:r>
    </w:p>
    <w:p w14:paraId="54287DE9" w14:textId="77777777" w:rsidR="00195972" w:rsidRPr="008828D9" w:rsidRDefault="00195972" w:rsidP="008828D9">
      <w:pPr>
        <w:rPr>
          <w:lang w:bidi="ar-SA"/>
        </w:rPr>
      </w:pPr>
    </w:p>
    <w:p w14:paraId="68DE8228"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3B342015" w14:textId="77777777" w:rsidR="00022DBC" w:rsidRDefault="00022DBC" w:rsidP="00022DBC">
      <w:pPr>
        <w:rPr>
          <w:lang w:bidi="ar-SA"/>
        </w:rPr>
      </w:pPr>
    </w:p>
    <w:p w14:paraId="277DCE75" w14:textId="79F78EFB" w:rsidR="00E520FE" w:rsidRDefault="00452669" w:rsidP="00DD3C5E">
      <w:r>
        <w:t>There are no specific policy guidelines formulated and notified by the</w:t>
      </w:r>
      <w:r w:rsidR="00837170">
        <w:rPr>
          <w:rFonts w:cs="Arial"/>
          <w:szCs w:val="22"/>
        </w:rPr>
        <w:t xml:space="preserve"> Australia and New Zealand Ministerial Forum on Food Regulation</w:t>
      </w:r>
      <w:r w:rsidR="00650C5C">
        <w:rPr>
          <w:rFonts w:cs="Arial"/>
          <w:szCs w:val="22"/>
        </w:rPr>
        <w:t xml:space="preserve"> (the Forum</w:t>
      </w:r>
      <w:r w:rsidR="00650C5C">
        <w:rPr>
          <w:rStyle w:val="FootnoteReference"/>
          <w:rFonts w:cs="Arial"/>
          <w:szCs w:val="22"/>
        </w:rPr>
        <w:footnoteReference w:id="14"/>
      </w:r>
      <w:r w:rsidR="00707C59">
        <w:rPr>
          <w:rFonts w:cs="Arial"/>
          <w:szCs w:val="22"/>
        </w:rPr>
        <w:t>)</w:t>
      </w:r>
      <w:r w:rsidR="00837170">
        <w:t xml:space="preserve"> </w:t>
      </w:r>
      <w:r>
        <w:t xml:space="preserve">under paragraph 18(2)(e) of the FSANZ Act which apply to this </w:t>
      </w:r>
      <w:r w:rsidR="000C70BF">
        <w:t>application</w:t>
      </w:r>
      <w:r>
        <w:t>. However, FSANZ has had regard to policy advice provided by the Forum</w:t>
      </w:r>
      <w:r w:rsidR="00653EDC">
        <w:t xml:space="preserve"> for Proposal P1050 </w:t>
      </w:r>
      <w:r w:rsidR="000C70BF">
        <w:t>(see section</w:t>
      </w:r>
      <w:r w:rsidR="00653EDC">
        <w:t xml:space="preserve"> 2.3.2).</w:t>
      </w:r>
    </w:p>
    <w:p w14:paraId="618E1C11" w14:textId="77777777" w:rsidR="00707C59" w:rsidRDefault="00707C59" w:rsidP="00DD3C5E"/>
    <w:p w14:paraId="20662490" w14:textId="44196CAD" w:rsidR="005F7342" w:rsidRPr="00932F14" w:rsidRDefault="00867B23" w:rsidP="00E203C2">
      <w:pPr>
        <w:pStyle w:val="Heading1"/>
      </w:pPr>
      <w:bookmarkStart w:id="78" w:name="_Toc286391014"/>
      <w:bookmarkStart w:id="79" w:name="_Toc175381455"/>
      <w:bookmarkStart w:id="80" w:name="_Toc300933445"/>
      <w:bookmarkStart w:id="81" w:name="_Toc114057810"/>
      <w:bookmarkEnd w:id="34"/>
      <w:bookmarkEnd w:id="35"/>
      <w:bookmarkEnd w:id="36"/>
      <w:bookmarkEnd w:id="37"/>
      <w:bookmarkEnd w:id="38"/>
      <w:bookmarkEnd w:id="39"/>
      <w:bookmarkEnd w:id="55"/>
      <w:r>
        <w:t>3</w:t>
      </w:r>
      <w:r w:rsidR="00F604DE">
        <w:tab/>
      </w:r>
      <w:bookmarkEnd w:id="78"/>
      <w:bookmarkEnd w:id="79"/>
      <w:bookmarkEnd w:id="80"/>
      <w:r w:rsidR="00D14405">
        <w:t xml:space="preserve">Draft </w:t>
      </w:r>
      <w:r w:rsidR="00D14405" w:rsidRPr="00330D97">
        <w:t>variation</w:t>
      </w:r>
      <w:bookmarkEnd w:id="81"/>
    </w:p>
    <w:p w14:paraId="09957BC9" w14:textId="441650F6"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330D97">
        <w:t xml:space="preserve">on </w:t>
      </w:r>
      <w:r w:rsidR="000564DE" w:rsidRPr="00330D97">
        <w:t>gazettal</w:t>
      </w:r>
      <w:r w:rsidR="00330D97" w:rsidRPr="00330D97">
        <w:t>.</w:t>
      </w:r>
    </w:p>
    <w:p w14:paraId="46BA8ED5" w14:textId="77777777" w:rsidR="00D209C9" w:rsidRPr="001E1FAB" w:rsidRDefault="00D209C9" w:rsidP="00D209C9">
      <w:pPr>
        <w:rPr>
          <w:color w:val="000000" w:themeColor="text1"/>
        </w:rPr>
      </w:pPr>
    </w:p>
    <w:p w14:paraId="7E065FC9"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55959D20" w14:textId="6D3D5731" w:rsidR="00924C80" w:rsidRPr="005B01E7" w:rsidRDefault="00867B23" w:rsidP="00C63580">
      <w:pPr>
        <w:pStyle w:val="Heading2"/>
      </w:pPr>
      <w:bookmarkStart w:id="82" w:name="_Toc175381456"/>
      <w:bookmarkStart w:id="83" w:name="_Toc300761917"/>
      <w:bookmarkStart w:id="84" w:name="_Toc300933449"/>
      <w:bookmarkStart w:id="85" w:name="_Toc114057811"/>
      <w:bookmarkStart w:id="86" w:name="_Toc11735643"/>
      <w:bookmarkStart w:id="87" w:name="_Toc29883130"/>
      <w:bookmarkStart w:id="88" w:name="_Toc41906817"/>
      <w:bookmarkStart w:id="89" w:name="_Toc41907564"/>
      <w:bookmarkStart w:id="90" w:name="_Toc43112360"/>
      <w:r w:rsidRPr="005B01E7">
        <w:t>3</w:t>
      </w:r>
      <w:r w:rsidR="00F604DE" w:rsidRPr="005B01E7">
        <w:t>.</w:t>
      </w:r>
      <w:r w:rsidR="00C95A55" w:rsidRPr="005B01E7">
        <w:t>1</w:t>
      </w:r>
      <w:r w:rsidR="00924C80" w:rsidRPr="005B01E7">
        <w:tab/>
        <w:t xml:space="preserve">Transitional </w:t>
      </w:r>
      <w:r w:rsidR="006C28E2" w:rsidRPr="005B01E7">
        <w:t>a</w:t>
      </w:r>
      <w:r w:rsidR="00924C80" w:rsidRPr="005B01E7">
        <w:t>rrangements</w:t>
      </w:r>
      <w:bookmarkEnd w:id="82"/>
      <w:bookmarkEnd w:id="83"/>
      <w:bookmarkEnd w:id="84"/>
      <w:bookmarkEnd w:id="85"/>
    </w:p>
    <w:p w14:paraId="6CA6D1EE" w14:textId="11E36134" w:rsidR="00DF25EE" w:rsidRDefault="000A4732" w:rsidP="006A0C2F">
      <w:bookmarkStart w:id="91" w:name="_Toc11735642"/>
      <w:bookmarkStart w:id="92" w:name="_Toc29883129"/>
      <w:bookmarkStart w:id="93" w:name="_Toc41906816"/>
      <w:bookmarkStart w:id="94" w:name="_Toc41907563"/>
      <w:bookmarkStart w:id="95" w:name="_Toc120358595"/>
      <w:bookmarkStart w:id="96" w:name="_Toc175381457"/>
      <w:bookmarkStart w:id="97" w:name="_Toc300761918"/>
      <w:bookmarkStart w:id="98" w:name="_Toc300933450"/>
      <w:r>
        <w:t xml:space="preserve">FSANZ has considered </w:t>
      </w:r>
      <w:r w:rsidR="00CB1D7D">
        <w:t xml:space="preserve">three </w:t>
      </w:r>
      <w:r>
        <w:t>options for transitional arrangements</w:t>
      </w:r>
      <w:r w:rsidR="00DF25EE">
        <w:t>:</w:t>
      </w:r>
    </w:p>
    <w:p w14:paraId="6A928915" w14:textId="77777777" w:rsidR="00DF25EE" w:rsidRDefault="00DF25EE" w:rsidP="006A0C2F"/>
    <w:p w14:paraId="0E0C1938" w14:textId="4858752C" w:rsidR="00DF25EE" w:rsidRDefault="000A4732" w:rsidP="00FA3085">
      <w:pPr>
        <w:pStyle w:val="ListParagraph"/>
        <w:numPr>
          <w:ilvl w:val="0"/>
          <w:numId w:val="17"/>
        </w:numPr>
        <w:ind w:left="567" w:hanging="567"/>
      </w:pPr>
      <w:r>
        <w:t>applying the transitional arrangements for Proposal P1050 to the proposed draft variation</w:t>
      </w:r>
      <w:r w:rsidR="00DF25EE">
        <w:t xml:space="preserve"> (</w:t>
      </w:r>
      <w:r w:rsidR="001B750F">
        <w:t>i.e.</w:t>
      </w:r>
      <w:r w:rsidR="00DF25EE">
        <w:t xml:space="preserve"> the transition period would be from the date of gazettal of the </w:t>
      </w:r>
      <w:r w:rsidR="001B750F">
        <w:t xml:space="preserve">proposed </w:t>
      </w:r>
      <w:r w:rsidR="00DF25EE">
        <w:t>draft variation to 31 July 2023)</w:t>
      </w:r>
      <w:r>
        <w:t xml:space="preserve">; </w:t>
      </w:r>
    </w:p>
    <w:p w14:paraId="681914B2" w14:textId="51CD4EBA" w:rsidR="00DF25EE" w:rsidRDefault="00DF25EE" w:rsidP="00FA3085">
      <w:pPr>
        <w:pStyle w:val="ListParagraph"/>
        <w:numPr>
          <w:ilvl w:val="0"/>
          <w:numId w:val="17"/>
        </w:numPr>
        <w:ind w:left="567" w:hanging="567"/>
      </w:pPr>
      <w:r>
        <w:lastRenderedPageBreak/>
        <w:t xml:space="preserve">using </w:t>
      </w:r>
      <w:r w:rsidR="000A4732">
        <w:t xml:space="preserve">the default transition period in the Code of 12 months beginning from </w:t>
      </w:r>
      <w:r>
        <w:t xml:space="preserve">the date of </w:t>
      </w:r>
      <w:r w:rsidR="000A4732">
        <w:t>gazettal of the proposed draft variation</w:t>
      </w:r>
      <w:r>
        <w:t xml:space="preserve"> (section 1.1.1—9)</w:t>
      </w:r>
      <w:r w:rsidR="00BF1BF1">
        <w:t>;</w:t>
      </w:r>
    </w:p>
    <w:p w14:paraId="0EA4097F" w14:textId="5C2EC044" w:rsidR="00C41365" w:rsidRDefault="00C41365" w:rsidP="00FA3085">
      <w:pPr>
        <w:pStyle w:val="ListParagraph"/>
        <w:numPr>
          <w:ilvl w:val="0"/>
          <w:numId w:val="17"/>
        </w:numPr>
        <w:ind w:left="567" w:hanging="567"/>
      </w:pPr>
      <w:r>
        <w:t xml:space="preserve">applying </w:t>
      </w:r>
      <w:r w:rsidR="00E25881">
        <w:t xml:space="preserve">a transition period of an additional six months from 1 August 2023, that </w:t>
      </w:r>
      <w:r w:rsidR="00150401">
        <w:t>i</w:t>
      </w:r>
      <w:r w:rsidR="00E25881">
        <w:t>s, the transition period would</w:t>
      </w:r>
      <w:r w:rsidR="001B750F">
        <w:t xml:space="preserve"> commence on the date of gazettal and</w:t>
      </w:r>
      <w:r w:rsidR="00E25881">
        <w:t xml:space="preserve"> end on 1 February 2024.</w:t>
      </w:r>
    </w:p>
    <w:p w14:paraId="4886D2BD" w14:textId="050AEC81" w:rsidR="00CB1D7D" w:rsidRDefault="00CB1D7D" w:rsidP="00CB1D7D"/>
    <w:p w14:paraId="7B298C86" w14:textId="1D47C2F8" w:rsidR="00DF25EE" w:rsidRDefault="00DF25EE" w:rsidP="006A0C2F">
      <w:r>
        <w:t>Stock-in-trade exemptions</w:t>
      </w:r>
      <w:r w:rsidR="001B750F">
        <w:t xml:space="preserve"> have also been considered. </w:t>
      </w:r>
    </w:p>
    <w:p w14:paraId="650F6056" w14:textId="77777777" w:rsidR="001B750F" w:rsidRDefault="001B750F" w:rsidP="006A0C2F"/>
    <w:p w14:paraId="3A645B0D" w14:textId="5B811E7F" w:rsidR="001B750F" w:rsidRDefault="00AA79CF" w:rsidP="006A0C2F">
      <w:r>
        <w:t>FSANZ proposes a transition period for</w:t>
      </w:r>
      <w:r w:rsidRPr="3A6E3176">
        <w:rPr>
          <w:lang w:val="en-AU" w:eastAsia="en-GB" w:bidi="ar-SA"/>
        </w:rPr>
        <w:t xml:space="preserve"> a </w:t>
      </w:r>
      <w:r>
        <w:t xml:space="preserve">prescribed alcoholic beverage </w:t>
      </w:r>
      <w:r w:rsidR="00CB0FF2">
        <w:t>meeting the</w:t>
      </w:r>
      <w:r w:rsidR="00CB0FF2" w:rsidRPr="00CB0FF2">
        <w:t xml:space="preserve"> requirements of clause 4(2) of the variation </w:t>
      </w:r>
      <w:r w:rsidR="00CB0FF2">
        <w:t xml:space="preserve">only, </w:t>
      </w:r>
      <w:r>
        <w:t>commences on the date of gazettal and ends on 1 February 2024. FSANZ</w:t>
      </w:r>
      <w:r w:rsidR="00DF25EE">
        <w:t xml:space="preserve"> consider</w:t>
      </w:r>
      <w:r>
        <w:t xml:space="preserve">s </w:t>
      </w:r>
      <w:r w:rsidR="00DF25EE">
        <w:t>that given industry has been moving towards implementing pregnancy wa</w:t>
      </w:r>
      <w:r w:rsidR="001B750F">
        <w:t>r</w:t>
      </w:r>
      <w:r w:rsidR="00DF25EE">
        <w:t>ning labe</w:t>
      </w:r>
      <w:r>
        <w:t>lling</w:t>
      </w:r>
      <w:r w:rsidR="00DF25EE">
        <w:t xml:space="preserve"> requirements since July 2020, providing an additional six months (from 1 August 2023 </w:t>
      </w:r>
      <w:r w:rsidR="001B750F">
        <w:t>to</w:t>
      </w:r>
      <w:r w:rsidR="00DF25EE">
        <w:t xml:space="preserve"> 1 February 2024) for producers who package alcoholic beverages</w:t>
      </w:r>
      <w:r>
        <w:t xml:space="preserve"> in</w:t>
      </w:r>
      <w:r w:rsidR="00DF25EE">
        <w:t xml:space="preserve"> CC (and </w:t>
      </w:r>
      <w:r w:rsidR="001B750F">
        <w:t xml:space="preserve">meet </w:t>
      </w:r>
      <w:r w:rsidR="00DF25EE">
        <w:t xml:space="preserve">all other requirements in the draft variation) should be sufficient. </w:t>
      </w:r>
      <w:r w:rsidR="001B750F">
        <w:t>Commencing the transition period on the date of gazettal of the d</w:t>
      </w:r>
      <w:r w:rsidR="00D85CB3">
        <w:t>r</w:t>
      </w:r>
      <w:r w:rsidR="001B750F">
        <w:t>aft variation and ending it when the transition period for P1050 ends on 31 July 2023 would not give producers sufficient time to meet the requirements in the draft variation f</w:t>
      </w:r>
      <w:r w:rsidR="00D85CB3">
        <w:t>or</w:t>
      </w:r>
      <w:r w:rsidR="001B750F">
        <w:t xml:space="preserve"> product packaged</w:t>
      </w:r>
      <w:r w:rsidR="00D85CB3">
        <w:t xml:space="preserve"> and labelled</w:t>
      </w:r>
      <w:r w:rsidR="001B750F">
        <w:t xml:space="preserve"> </w:t>
      </w:r>
      <w:r w:rsidR="00D85CB3">
        <w:t>from</w:t>
      </w:r>
      <w:r w:rsidR="001B750F">
        <w:t xml:space="preserve"> 1 August 2023, should they choose to use the alternative pregnancy warning mark.</w:t>
      </w:r>
    </w:p>
    <w:p w14:paraId="759442B1" w14:textId="77777777" w:rsidR="001B750F" w:rsidRDefault="001B750F" w:rsidP="006A0C2F"/>
    <w:p w14:paraId="09C30D1B" w14:textId="302218C0" w:rsidR="007A700D" w:rsidRPr="00CB0FF2" w:rsidRDefault="00D85CB3" w:rsidP="006A0C2F">
      <w:pPr>
        <w:rPr>
          <w:highlight w:val="yellow"/>
        </w:rPr>
      </w:pPr>
      <w:r>
        <w:t xml:space="preserve">FSANZ also proposes to apply </w:t>
      </w:r>
      <w:r w:rsidR="00DD31FF">
        <w:t>a stock-in-trade provision</w:t>
      </w:r>
      <w:r>
        <w:t xml:space="preserve"> for the labelling of prescribed alcoholic beverages </w:t>
      </w:r>
      <w:r w:rsidR="00AA79CF">
        <w:t>warning mark on an outer package made of CC (as set out in the draft variation)</w:t>
      </w:r>
      <w:r>
        <w:t xml:space="preserve">, similar to what was applied to all prescribed alcoholic beverages under Proposal P1050. </w:t>
      </w:r>
      <w:r w:rsidR="00AA79CF">
        <w:t>This approach aims to reduce the need for re-labelling and recognises alcoholic beverages with a slow market turnover</w:t>
      </w:r>
      <w:r w:rsidR="005E583B">
        <w:t xml:space="preserve">. </w:t>
      </w:r>
      <w:r w:rsidR="00AA79CF">
        <w:t>Prescribed</w:t>
      </w:r>
      <w:r w:rsidR="00A90205">
        <w:t xml:space="preserve"> alcoholic beverages</w:t>
      </w:r>
      <w:r w:rsidR="00DD31FF">
        <w:t xml:space="preserve"> </w:t>
      </w:r>
      <w:r w:rsidR="00CB0FF2">
        <w:t>meeting the</w:t>
      </w:r>
      <w:r w:rsidR="00CB0FF2" w:rsidRPr="00CB0FF2">
        <w:t xml:space="preserve"> requirements of clause 4(2) of the variation </w:t>
      </w:r>
      <w:r w:rsidR="00CB0FF2">
        <w:t xml:space="preserve">only </w:t>
      </w:r>
      <w:r w:rsidR="00CB0FF2" w:rsidRPr="00CB0FF2">
        <w:t>and which are packaged and labelled before the end of the transition period</w:t>
      </w:r>
      <w:r w:rsidR="00CB0FF2">
        <w:t xml:space="preserve"> </w:t>
      </w:r>
      <w:r w:rsidR="00A90205">
        <w:t>(i.e. before 2 February 2024</w:t>
      </w:r>
      <w:r w:rsidR="00DD31FF">
        <w:t>)</w:t>
      </w:r>
      <w:r>
        <w:t xml:space="preserve"> could </w:t>
      </w:r>
      <w:r w:rsidR="00AA79CF">
        <w:t xml:space="preserve">therefore </w:t>
      </w:r>
      <w:r>
        <w:t>be sold</w:t>
      </w:r>
      <w:r w:rsidR="00A90205">
        <w:t xml:space="preserve"> </w:t>
      </w:r>
      <w:r>
        <w:t>without the</w:t>
      </w:r>
      <w:r w:rsidR="00A90205">
        <w:t xml:space="preserve"> pregnancy warning mark.</w:t>
      </w:r>
      <w:r w:rsidR="00AA79CF">
        <w:t xml:space="preserve"> </w:t>
      </w:r>
    </w:p>
    <w:p w14:paraId="368F9CFC" w14:textId="77777777" w:rsidR="001E5DA6" w:rsidRPr="00193B71" w:rsidRDefault="001E5DA6" w:rsidP="001E5DA6">
      <w:pPr>
        <w:pStyle w:val="Heading3"/>
        <w:rPr>
          <w:color w:val="auto"/>
        </w:rPr>
      </w:pPr>
      <w:r w:rsidRPr="00193B71">
        <w:rPr>
          <w:color w:val="auto"/>
        </w:rPr>
        <w:t>3.1.1</w:t>
      </w:r>
      <w:r w:rsidRPr="00193B71">
        <w:rPr>
          <w:color w:val="auto"/>
        </w:rPr>
        <w:tab/>
        <w:t>Implementation</w:t>
      </w:r>
    </w:p>
    <w:p w14:paraId="3E864FD5" w14:textId="30309325" w:rsidR="001E5DA6" w:rsidRPr="003A60AD" w:rsidRDefault="001E5DA6" w:rsidP="001E5DA6">
      <w:pPr>
        <w:rPr>
          <w:rFonts w:cs="Arial"/>
          <w:color w:val="000000" w:themeColor="text1"/>
        </w:rPr>
      </w:pPr>
      <w:r>
        <w:rPr>
          <w:rFonts w:cs="Arial"/>
          <w:color w:val="000000" w:themeColor="text1"/>
        </w:rPr>
        <w:t xml:space="preserve">FSANZ </w:t>
      </w:r>
      <w:r w:rsidR="00B02B91">
        <w:rPr>
          <w:rFonts w:cs="Arial"/>
          <w:color w:val="000000" w:themeColor="text1"/>
        </w:rPr>
        <w:t xml:space="preserve">expects to </w:t>
      </w:r>
      <w:r>
        <w:rPr>
          <w:rFonts w:cs="Arial"/>
          <w:color w:val="000000" w:themeColor="text1"/>
        </w:rPr>
        <w:t>update the information on its website</w:t>
      </w:r>
      <w:r>
        <w:rPr>
          <w:rStyle w:val="FootnoteReference"/>
          <w:rFonts w:cs="Arial"/>
          <w:color w:val="000000" w:themeColor="text1"/>
        </w:rPr>
        <w:footnoteReference w:id="15"/>
      </w:r>
      <w:r>
        <w:rPr>
          <w:rFonts w:cs="Arial"/>
          <w:color w:val="000000" w:themeColor="text1"/>
        </w:rPr>
        <w:t xml:space="preserve"> that supports industry implementation of the pregnancy warning labelling requirements and include the proposed alternative pregnancy warning mark in the suite of downloadable labels.</w:t>
      </w:r>
    </w:p>
    <w:p w14:paraId="41B17885" w14:textId="77777777" w:rsidR="001E5DA6" w:rsidRPr="00C70B2C" w:rsidRDefault="001E5DA6" w:rsidP="001E5DA6">
      <w:pPr>
        <w:pStyle w:val="Heading3"/>
        <w:rPr>
          <w:color w:val="auto"/>
        </w:rPr>
      </w:pPr>
      <w:bookmarkStart w:id="99" w:name="_Toc300761919"/>
      <w:bookmarkStart w:id="100" w:name="_Toc300933451"/>
      <w:r w:rsidRPr="00C70B2C">
        <w:rPr>
          <w:color w:val="auto"/>
        </w:rPr>
        <w:t>3.1.2</w:t>
      </w:r>
      <w:r w:rsidRPr="00C70B2C">
        <w:rPr>
          <w:color w:val="auto"/>
        </w:rPr>
        <w:tab/>
      </w:r>
      <w:r>
        <w:rPr>
          <w:color w:val="auto"/>
        </w:rPr>
        <w:t>Monitoring and e</w:t>
      </w:r>
      <w:r w:rsidRPr="00C70B2C">
        <w:rPr>
          <w:color w:val="auto"/>
        </w:rPr>
        <w:t>valuation</w:t>
      </w:r>
      <w:bookmarkEnd w:id="99"/>
      <w:bookmarkEnd w:id="100"/>
    </w:p>
    <w:p w14:paraId="50694D7F" w14:textId="77777777" w:rsidR="001E5DA6" w:rsidRPr="00C75927" w:rsidRDefault="001E5DA6" w:rsidP="001E5DA6">
      <w:pPr>
        <w:rPr>
          <w:lang w:bidi="ar-SA"/>
        </w:rPr>
      </w:pPr>
      <w:r w:rsidRPr="00C75927">
        <w:rPr>
          <w:lang w:bidi="ar-SA"/>
        </w:rPr>
        <w:t>The proposed labelling change would be captured under the monitoring and evaluation activities proposed under Proposal P1050</w:t>
      </w:r>
      <w:r>
        <w:rPr>
          <w:rStyle w:val="FootnoteReference"/>
          <w:lang w:bidi="ar-SA"/>
        </w:rPr>
        <w:footnoteReference w:id="16"/>
      </w:r>
      <w:r w:rsidRPr="00C75927">
        <w:rPr>
          <w:lang w:bidi="ar-SA"/>
        </w:rPr>
        <w:t>.</w:t>
      </w:r>
    </w:p>
    <w:p w14:paraId="02133973" w14:textId="77777777" w:rsidR="001E5DA6" w:rsidRDefault="001E5DA6" w:rsidP="006A0C2F"/>
    <w:p w14:paraId="15CF53AD" w14:textId="77777777" w:rsidR="008419EE" w:rsidRDefault="008419EE" w:rsidP="006A0C2F"/>
    <w:p w14:paraId="0C6C4E54" w14:textId="53746FDB" w:rsidR="00AA79CF" w:rsidRDefault="00AA79CF" w:rsidP="006A0C2F">
      <w:pPr>
        <w:sectPr w:rsidR="00AA79CF" w:rsidSect="00CC36E7">
          <w:pgSz w:w="11906" w:h="16838"/>
          <w:pgMar w:top="1418" w:right="1418" w:bottom="1134" w:left="1418" w:header="709" w:footer="709" w:gutter="0"/>
          <w:pgNumType w:start="1"/>
          <w:cols w:space="708"/>
          <w:docGrid w:linePitch="360"/>
        </w:sectPr>
      </w:pPr>
    </w:p>
    <w:p w14:paraId="11E7EA40" w14:textId="62678053" w:rsidR="00A6016F" w:rsidRPr="00330D97" w:rsidRDefault="00867B23" w:rsidP="0061448F">
      <w:pPr>
        <w:pStyle w:val="Heading1"/>
      </w:pPr>
      <w:bookmarkStart w:id="101" w:name="_Toc114057812"/>
      <w:bookmarkStart w:id="102" w:name="_Toc300933452"/>
      <w:bookmarkEnd w:id="91"/>
      <w:bookmarkEnd w:id="92"/>
      <w:bookmarkEnd w:id="93"/>
      <w:bookmarkEnd w:id="94"/>
      <w:bookmarkEnd w:id="95"/>
      <w:bookmarkEnd w:id="96"/>
      <w:bookmarkEnd w:id="97"/>
      <w:bookmarkEnd w:id="98"/>
      <w:r w:rsidRPr="00330D97">
        <w:lastRenderedPageBreak/>
        <w:t>4</w:t>
      </w:r>
      <w:r w:rsidR="00924C80" w:rsidRPr="00330D97">
        <w:tab/>
        <w:t>R</w:t>
      </w:r>
      <w:r w:rsidR="006C28E2" w:rsidRPr="00330D97">
        <w:t>eferences</w:t>
      </w:r>
      <w:bookmarkEnd w:id="101"/>
    </w:p>
    <w:p w14:paraId="4D13D836" w14:textId="69E110B9" w:rsidR="0061448F" w:rsidRDefault="0061448F" w:rsidP="0061448F">
      <w:pPr>
        <w:ind w:left="567" w:hanging="567"/>
        <w:rPr>
          <w:szCs w:val="22"/>
        </w:rPr>
      </w:pPr>
      <w:proofErr w:type="spellStart"/>
      <w:r w:rsidRPr="0061448F">
        <w:rPr>
          <w:szCs w:val="22"/>
        </w:rPr>
        <w:t>Coomber</w:t>
      </w:r>
      <w:proofErr w:type="spellEnd"/>
      <w:r w:rsidRPr="0061448F">
        <w:rPr>
          <w:szCs w:val="22"/>
        </w:rPr>
        <w:t>, K., Hayley, A., &amp; Miller, P. G. (2018). Unconvinci</w:t>
      </w:r>
      <w:r>
        <w:rPr>
          <w:szCs w:val="22"/>
        </w:rPr>
        <w:t xml:space="preserve">ng and ineffective: Young adult </w:t>
      </w:r>
      <w:r w:rsidRPr="0061448F">
        <w:rPr>
          <w:szCs w:val="22"/>
        </w:rPr>
        <w:t xml:space="preserve">responses to current Australian alcohol product </w:t>
      </w:r>
      <w:r>
        <w:rPr>
          <w:szCs w:val="22"/>
        </w:rPr>
        <w:t xml:space="preserve">warnings. </w:t>
      </w:r>
      <w:r w:rsidRPr="0061448F">
        <w:rPr>
          <w:i/>
          <w:szCs w:val="22"/>
        </w:rPr>
        <w:t xml:space="preserve">Australian Journal of </w:t>
      </w:r>
      <w:r>
        <w:rPr>
          <w:i/>
          <w:szCs w:val="22"/>
        </w:rPr>
        <w:t>Psychology,</w:t>
      </w:r>
      <w:r w:rsidRPr="0061448F">
        <w:rPr>
          <w:i/>
          <w:szCs w:val="22"/>
        </w:rPr>
        <w:t xml:space="preserve"> (2</w:t>
      </w:r>
      <w:r w:rsidRPr="0061448F">
        <w:rPr>
          <w:szCs w:val="22"/>
        </w:rPr>
        <w:t xml:space="preserve">), 131. </w:t>
      </w:r>
      <w:hyperlink r:id="rId28" w:history="1">
        <w:r w:rsidRPr="00D214B2">
          <w:rPr>
            <w:rStyle w:val="Hyperlink"/>
            <w:szCs w:val="22"/>
          </w:rPr>
          <w:t>https://doi.org/10.1111/ajpy.12177</w:t>
        </w:r>
      </w:hyperlink>
      <w:r>
        <w:rPr>
          <w:szCs w:val="22"/>
        </w:rPr>
        <w:t xml:space="preserve"> </w:t>
      </w:r>
    </w:p>
    <w:p w14:paraId="0E31B1D4" w14:textId="2F78EC74" w:rsidR="00531945" w:rsidRDefault="00531945" w:rsidP="00531945">
      <w:pPr>
        <w:ind w:left="567" w:hanging="567"/>
        <w:rPr>
          <w:szCs w:val="22"/>
        </w:rPr>
      </w:pPr>
      <w:r>
        <w:rPr>
          <w:szCs w:val="22"/>
        </w:rPr>
        <w:t xml:space="preserve">Food Standards Australia New Zealand (FSANZ). (2020). </w:t>
      </w:r>
      <w:r w:rsidRPr="00A6016F">
        <w:rPr>
          <w:i/>
          <w:szCs w:val="22"/>
        </w:rPr>
        <w:t>Pregnancy warning labels on packaged alcohol: A review of recent literature.</w:t>
      </w:r>
      <w:r w:rsidR="00A6016F">
        <w:rPr>
          <w:i/>
          <w:szCs w:val="22"/>
        </w:rPr>
        <w:t xml:space="preserve"> </w:t>
      </w:r>
      <w:r w:rsidR="00A6016F">
        <w:rPr>
          <w:szCs w:val="22"/>
        </w:rPr>
        <w:t xml:space="preserve">Retrieved from </w:t>
      </w:r>
      <w:hyperlink r:id="rId29" w:history="1">
        <w:r w:rsidR="00A6016F" w:rsidRPr="00D214B2">
          <w:rPr>
            <w:rStyle w:val="Hyperlink"/>
            <w:szCs w:val="22"/>
          </w:rPr>
          <w:t>https://www.foodstandards.gov.au/code/proposals/Documents/SD1%20Pregnancy%20Warning%20Labels%20Literature%20Review.pdf</w:t>
        </w:r>
      </w:hyperlink>
      <w:r w:rsidR="00A6016F">
        <w:rPr>
          <w:szCs w:val="22"/>
        </w:rPr>
        <w:t xml:space="preserve"> </w:t>
      </w:r>
    </w:p>
    <w:p w14:paraId="1C5E1BE5" w14:textId="31E280FE" w:rsidR="0061448F" w:rsidRDefault="0061448F" w:rsidP="00531945">
      <w:pPr>
        <w:ind w:left="567" w:hanging="567"/>
        <w:rPr>
          <w:szCs w:val="22"/>
        </w:rPr>
      </w:pPr>
      <w:r w:rsidRPr="0061448F">
        <w:rPr>
          <w:szCs w:val="22"/>
        </w:rPr>
        <w:t xml:space="preserve">Hall &amp; Partners. (2018). </w:t>
      </w:r>
      <w:r w:rsidRPr="0061448F">
        <w:rPr>
          <w:i/>
          <w:szCs w:val="22"/>
        </w:rPr>
        <w:t>Understanding of consumer information messaging on alcohol products: Focus group testing report</w:t>
      </w:r>
      <w:r w:rsidRPr="0061448F">
        <w:rPr>
          <w:szCs w:val="22"/>
        </w:rPr>
        <w:t xml:space="preserve">. Retrieved from </w:t>
      </w:r>
      <w:hyperlink r:id="rId30" w:history="1">
        <w:r w:rsidRPr="00D214B2">
          <w:rPr>
            <w:rStyle w:val="Hyperlink"/>
            <w:szCs w:val="22"/>
          </w:rPr>
          <w:t>http://fare.org.au/understanding-ofconsumer-information-messaging-on-alcohol-products/</w:t>
        </w:r>
      </w:hyperlink>
    </w:p>
    <w:p w14:paraId="2EF89EB0" w14:textId="2541C997" w:rsidR="0061448F" w:rsidRPr="0061448F" w:rsidRDefault="0061448F" w:rsidP="0061448F">
      <w:pPr>
        <w:ind w:left="567" w:hanging="567"/>
        <w:rPr>
          <w:szCs w:val="22"/>
        </w:rPr>
      </w:pPr>
      <w:r w:rsidRPr="0061448F">
        <w:rPr>
          <w:szCs w:val="22"/>
        </w:rPr>
        <w:t>Jones, S. C., &amp; Gregory, P. (2010). Health Warning Label</w:t>
      </w:r>
      <w:r>
        <w:rPr>
          <w:szCs w:val="22"/>
        </w:rPr>
        <w:t xml:space="preserve">s on Alcohol Products—The Views </w:t>
      </w:r>
      <w:r w:rsidRPr="0061448F">
        <w:rPr>
          <w:szCs w:val="22"/>
        </w:rPr>
        <w:t xml:space="preserve">of Australian University Students. </w:t>
      </w:r>
      <w:r w:rsidRPr="0061448F">
        <w:rPr>
          <w:i/>
          <w:szCs w:val="22"/>
        </w:rPr>
        <w:t>Contemporary Drug Problems, 37</w:t>
      </w:r>
      <w:r>
        <w:rPr>
          <w:szCs w:val="22"/>
        </w:rPr>
        <w:t xml:space="preserve">(1), 109–137. </w:t>
      </w:r>
      <w:hyperlink r:id="rId31" w:history="1">
        <w:r w:rsidRPr="00D214B2">
          <w:rPr>
            <w:rStyle w:val="Hyperlink"/>
            <w:szCs w:val="22"/>
          </w:rPr>
          <w:t>https://doi.org/10.1177/009145091003700106</w:t>
        </w:r>
      </w:hyperlink>
      <w:r>
        <w:rPr>
          <w:szCs w:val="22"/>
        </w:rPr>
        <w:t xml:space="preserve"> </w:t>
      </w:r>
    </w:p>
    <w:p w14:paraId="3E217B41" w14:textId="12D4BF10" w:rsidR="0061448F" w:rsidRDefault="0061448F" w:rsidP="0061448F">
      <w:pPr>
        <w:ind w:left="567" w:hanging="567"/>
        <w:rPr>
          <w:szCs w:val="22"/>
        </w:rPr>
      </w:pPr>
      <w:proofErr w:type="spellStart"/>
      <w:r w:rsidRPr="0061448F">
        <w:rPr>
          <w:szCs w:val="22"/>
        </w:rPr>
        <w:t>Laughery</w:t>
      </w:r>
      <w:proofErr w:type="spellEnd"/>
      <w:r w:rsidRPr="0061448F">
        <w:rPr>
          <w:szCs w:val="22"/>
        </w:rPr>
        <w:t xml:space="preserve">, K. R., &amp; </w:t>
      </w:r>
      <w:proofErr w:type="spellStart"/>
      <w:r w:rsidRPr="0061448F">
        <w:rPr>
          <w:szCs w:val="22"/>
        </w:rPr>
        <w:t>Wogalter</w:t>
      </w:r>
      <w:proofErr w:type="spellEnd"/>
      <w:r w:rsidRPr="0061448F">
        <w:rPr>
          <w:szCs w:val="22"/>
        </w:rPr>
        <w:t xml:space="preserve">, M. S. (2016). Designing Effective Warnings. Reviews of Human </w:t>
      </w:r>
      <w:r w:rsidRPr="0061448F">
        <w:rPr>
          <w:i/>
          <w:szCs w:val="22"/>
        </w:rPr>
        <w:t>Factors and Ergonomics, 2</w:t>
      </w:r>
      <w:r w:rsidRPr="0061448F">
        <w:rPr>
          <w:szCs w:val="22"/>
        </w:rPr>
        <w:t xml:space="preserve">(1), 241–271. </w:t>
      </w:r>
      <w:hyperlink r:id="rId32" w:history="1">
        <w:r w:rsidRPr="00D214B2">
          <w:rPr>
            <w:rStyle w:val="Hyperlink"/>
            <w:szCs w:val="22"/>
          </w:rPr>
          <w:t>https://doi.org/10.1177/1557234X0600200109</w:t>
        </w:r>
      </w:hyperlink>
      <w:r w:rsidRPr="0061448F">
        <w:rPr>
          <w:szCs w:val="22"/>
        </w:rPr>
        <w:t>.</w:t>
      </w:r>
    </w:p>
    <w:p w14:paraId="542A713D" w14:textId="0F0EA1E1" w:rsidR="0061448F" w:rsidRPr="0061448F" w:rsidRDefault="0061448F" w:rsidP="0061448F">
      <w:pPr>
        <w:ind w:left="567" w:hanging="567"/>
        <w:rPr>
          <w:szCs w:val="22"/>
        </w:rPr>
      </w:pPr>
      <w:proofErr w:type="spellStart"/>
      <w:r w:rsidRPr="0061448F">
        <w:rPr>
          <w:szCs w:val="22"/>
        </w:rPr>
        <w:t>Laughery</w:t>
      </w:r>
      <w:proofErr w:type="spellEnd"/>
      <w:r w:rsidRPr="0061448F">
        <w:rPr>
          <w:szCs w:val="22"/>
        </w:rPr>
        <w:t xml:space="preserve">, K. R., Young, S. L., </w:t>
      </w:r>
      <w:proofErr w:type="spellStart"/>
      <w:r w:rsidRPr="0061448F">
        <w:rPr>
          <w:szCs w:val="22"/>
        </w:rPr>
        <w:t>Vaubel</w:t>
      </w:r>
      <w:proofErr w:type="spellEnd"/>
      <w:r w:rsidRPr="0061448F">
        <w:rPr>
          <w:szCs w:val="22"/>
        </w:rPr>
        <w:t>, K. P., &amp; Brelsford Jr, J. W. (</w:t>
      </w:r>
      <w:r>
        <w:rPr>
          <w:szCs w:val="22"/>
        </w:rPr>
        <w:t xml:space="preserve">1993). The Noticeability of </w:t>
      </w:r>
      <w:r w:rsidRPr="0061448F">
        <w:rPr>
          <w:szCs w:val="22"/>
        </w:rPr>
        <w:t xml:space="preserve">Warnings on Alcoholic Beverage Containers. </w:t>
      </w:r>
      <w:r w:rsidRPr="0061448F">
        <w:rPr>
          <w:i/>
          <w:szCs w:val="22"/>
        </w:rPr>
        <w:t>Journal of Public Policy &amp; Marketing, 12</w:t>
      </w:r>
      <w:r>
        <w:rPr>
          <w:szCs w:val="22"/>
        </w:rPr>
        <w:t xml:space="preserve">(1), </w:t>
      </w:r>
      <w:r w:rsidRPr="0061448F">
        <w:rPr>
          <w:szCs w:val="22"/>
        </w:rPr>
        <w:t>38–56.</w:t>
      </w:r>
    </w:p>
    <w:p w14:paraId="123D1D29" w14:textId="5E7FADFB" w:rsidR="0061448F" w:rsidRPr="0061448F" w:rsidRDefault="0061448F" w:rsidP="0061448F">
      <w:pPr>
        <w:ind w:left="567" w:hanging="567"/>
        <w:rPr>
          <w:szCs w:val="22"/>
        </w:rPr>
      </w:pPr>
      <w:proofErr w:type="spellStart"/>
      <w:r w:rsidRPr="0061448F">
        <w:rPr>
          <w:szCs w:val="22"/>
        </w:rPr>
        <w:t>Peschel</w:t>
      </w:r>
      <w:proofErr w:type="spellEnd"/>
      <w:r w:rsidRPr="0061448F">
        <w:rPr>
          <w:szCs w:val="22"/>
        </w:rPr>
        <w:t xml:space="preserve">, A. O., &amp; </w:t>
      </w:r>
      <w:proofErr w:type="spellStart"/>
      <w:r w:rsidRPr="0061448F">
        <w:rPr>
          <w:szCs w:val="22"/>
        </w:rPr>
        <w:t>Orquin</w:t>
      </w:r>
      <w:proofErr w:type="spellEnd"/>
      <w:r w:rsidRPr="0061448F">
        <w:rPr>
          <w:szCs w:val="22"/>
        </w:rPr>
        <w:t xml:space="preserve">, J. L. (2013). A review of the findings and theories on surface size effects on visual attention. </w:t>
      </w:r>
      <w:r w:rsidRPr="0061448F">
        <w:rPr>
          <w:i/>
          <w:szCs w:val="22"/>
        </w:rPr>
        <w:t>Frontiers in Psychology, 4</w:t>
      </w:r>
      <w:r>
        <w:rPr>
          <w:szCs w:val="22"/>
        </w:rPr>
        <w:t xml:space="preserve">, 902. </w:t>
      </w:r>
      <w:hyperlink r:id="rId33" w:history="1">
        <w:r w:rsidRPr="00D214B2">
          <w:rPr>
            <w:rStyle w:val="Hyperlink"/>
            <w:szCs w:val="22"/>
          </w:rPr>
          <w:t>https://doi.org/10.3389/fpsyg.2013.00902</w:t>
        </w:r>
      </w:hyperlink>
      <w:r>
        <w:rPr>
          <w:szCs w:val="22"/>
        </w:rPr>
        <w:t xml:space="preserve">. </w:t>
      </w:r>
    </w:p>
    <w:p w14:paraId="511A832A" w14:textId="27970AF1" w:rsidR="0061448F" w:rsidRPr="0061448F" w:rsidRDefault="0061448F" w:rsidP="0061448F">
      <w:pPr>
        <w:ind w:left="567" w:hanging="567"/>
        <w:rPr>
          <w:szCs w:val="22"/>
        </w:rPr>
      </w:pPr>
      <w:r w:rsidRPr="0061448F">
        <w:rPr>
          <w:szCs w:val="22"/>
        </w:rPr>
        <w:t xml:space="preserve">Pham, C., Rundle-Thiele, S., Parkinson, J., &amp; Li, S. (2018). Alcohol warning label awareness and attention: A multi-method study. </w:t>
      </w:r>
      <w:r w:rsidRPr="0061448F">
        <w:rPr>
          <w:i/>
          <w:szCs w:val="22"/>
        </w:rPr>
        <w:t>Alcohol and Alcoholism, 53</w:t>
      </w:r>
      <w:r w:rsidRPr="0061448F">
        <w:rPr>
          <w:szCs w:val="22"/>
        </w:rPr>
        <w:t xml:space="preserve">(1), 39–45. </w:t>
      </w:r>
      <w:hyperlink r:id="rId34" w:history="1">
        <w:r w:rsidRPr="00D214B2">
          <w:rPr>
            <w:rStyle w:val="Hyperlink"/>
            <w:szCs w:val="22"/>
          </w:rPr>
          <w:t>https://doi.org/10.1093/alcalc/agx087</w:t>
        </w:r>
      </w:hyperlink>
      <w:r>
        <w:rPr>
          <w:szCs w:val="22"/>
        </w:rPr>
        <w:t xml:space="preserve">   </w:t>
      </w:r>
    </w:p>
    <w:p w14:paraId="47EDC707" w14:textId="2C7311F6" w:rsidR="0061448F" w:rsidRPr="0061448F" w:rsidRDefault="0061448F" w:rsidP="0061448F">
      <w:pPr>
        <w:ind w:left="567" w:hanging="567"/>
        <w:rPr>
          <w:szCs w:val="22"/>
        </w:rPr>
      </w:pPr>
      <w:r w:rsidRPr="0061448F">
        <w:rPr>
          <w:szCs w:val="22"/>
        </w:rPr>
        <w:t xml:space="preserve">Rout, J., &amp; Hannan, T. (2016). </w:t>
      </w:r>
      <w:r w:rsidRPr="0061448F">
        <w:rPr>
          <w:i/>
          <w:szCs w:val="22"/>
        </w:rPr>
        <w:t>Consumer awareness and understanding of alcohol pregnancy warning labels</w:t>
      </w:r>
      <w:r w:rsidRPr="0061448F">
        <w:rPr>
          <w:szCs w:val="22"/>
        </w:rPr>
        <w:t xml:space="preserve">. Retrieved from Health Promotion Agency website: </w:t>
      </w:r>
      <w:hyperlink r:id="rId35" w:history="1">
        <w:r w:rsidRPr="00D214B2">
          <w:rPr>
            <w:rStyle w:val="Hyperlink"/>
            <w:szCs w:val="22"/>
          </w:rPr>
          <w:t>https://www.hpa.org.nz/research-library/research-publications/consumer-awareness-andunderstanding-of-alcohol-pregnancy-warning-labels</w:t>
        </w:r>
      </w:hyperlink>
      <w:r>
        <w:rPr>
          <w:szCs w:val="22"/>
        </w:rPr>
        <w:t xml:space="preserve"> </w:t>
      </w:r>
    </w:p>
    <w:p w14:paraId="7D921D9D" w14:textId="50B332AE" w:rsidR="0061448F" w:rsidRPr="0061448F" w:rsidRDefault="0061448F" w:rsidP="0061448F">
      <w:pPr>
        <w:ind w:left="567" w:hanging="567"/>
        <w:rPr>
          <w:szCs w:val="22"/>
        </w:rPr>
      </w:pPr>
      <w:r w:rsidRPr="0061448F">
        <w:rPr>
          <w:szCs w:val="22"/>
        </w:rPr>
        <w:t xml:space="preserve">Wilkinson, C., </w:t>
      </w:r>
      <w:proofErr w:type="spellStart"/>
      <w:r w:rsidRPr="0061448F">
        <w:rPr>
          <w:szCs w:val="22"/>
        </w:rPr>
        <w:t>Allsop</w:t>
      </w:r>
      <w:proofErr w:type="spellEnd"/>
      <w:r w:rsidRPr="0061448F">
        <w:rPr>
          <w:szCs w:val="22"/>
        </w:rPr>
        <w:t xml:space="preserve">, S., </w:t>
      </w:r>
      <w:proofErr w:type="spellStart"/>
      <w:r w:rsidRPr="0061448F">
        <w:rPr>
          <w:szCs w:val="22"/>
        </w:rPr>
        <w:t>Cail</w:t>
      </w:r>
      <w:proofErr w:type="spellEnd"/>
      <w:r w:rsidRPr="0061448F">
        <w:rPr>
          <w:szCs w:val="22"/>
        </w:rPr>
        <w:t xml:space="preserve">, D., </w:t>
      </w:r>
      <w:proofErr w:type="spellStart"/>
      <w:r w:rsidRPr="0061448F">
        <w:rPr>
          <w:szCs w:val="22"/>
        </w:rPr>
        <w:t>Chikritzhs</w:t>
      </w:r>
      <w:proofErr w:type="spellEnd"/>
      <w:r w:rsidRPr="0061448F">
        <w:rPr>
          <w:szCs w:val="22"/>
        </w:rPr>
        <w:t xml:space="preserve">, T., Daube, M., Kirby, G., &amp; </w:t>
      </w:r>
      <w:proofErr w:type="spellStart"/>
      <w:r w:rsidRPr="0061448F">
        <w:rPr>
          <w:szCs w:val="22"/>
        </w:rPr>
        <w:t>Mattick</w:t>
      </w:r>
      <w:proofErr w:type="spellEnd"/>
      <w:r w:rsidRPr="0061448F">
        <w:rPr>
          <w:szCs w:val="22"/>
        </w:rPr>
        <w:t xml:space="preserve">, R. (2009). </w:t>
      </w:r>
      <w:r w:rsidRPr="0061448F">
        <w:rPr>
          <w:i/>
          <w:szCs w:val="22"/>
        </w:rPr>
        <w:t>Alcohol Warning Labels: Evidence of impact on alcohol consumption amongst women of childbearing age. Report 2. Australia</w:t>
      </w:r>
      <w:r w:rsidRPr="0061448F">
        <w:rPr>
          <w:szCs w:val="22"/>
        </w:rPr>
        <w:t xml:space="preserve">. Prepared by National Drug Research Institute (Curtin University of Technology), in collaboration with Drug and Alcohol Office (WA), National Drug and Alcohol Research Centre (University of New South Wales), Public Health Advocacy Institute (Curtin University of Technology). Retrieved from </w:t>
      </w:r>
      <w:hyperlink r:id="rId36" w:history="1">
        <w:r w:rsidRPr="00D214B2">
          <w:rPr>
            <w:rStyle w:val="Hyperlink"/>
            <w:szCs w:val="22"/>
          </w:rPr>
          <w:t>https://www.foodstandards.gov.au/about/ips/foilog/documents/Curtin%20University%20of%20Technology_Alcohol%20Warning%20Labels.pdf</w:t>
        </w:r>
      </w:hyperlink>
      <w:r>
        <w:rPr>
          <w:szCs w:val="22"/>
        </w:rPr>
        <w:t xml:space="preserve">  </w:t>
      </w:r>
    </w:p>
    <w:p w14:paraId="7D89A5B3" w14:textId="2F1CC5D3" w:rsidR="0061448F" w:rsidRPr="0061448F" w:rsidRDefault="0061448F" w:rsidP="0061448F">
      <w:pPr>
        <w:ind w:left="567" w:hanging="567"/>
        <w:rPr>
          <w:szCs w:val="22"/>
        </w:rPr>
      </w:pPr>
      <w:proofErr w:type="spellStart"/>
      <w:r w:rsidRPr="0061448F">
        <w:rPr>
          <w:szCs w:val="22"/>
        </w:rPr>
        <w:t>Wogalter</w:t>
      </w:r>
      <w:proofErr w:type="spellEnd"/>
      <w:r w:rsidRPr="0061448F">
        <w:rPr>
          <w:szCs w:val="22"/>
        </w:rPr>
        <w:t xml:space="preserve">, M. S., &amp; Leonard, S. D. (1999). Attention capture and maintenance. In M. S. </w:t>
      </w:r>
      <w:proofErr w:type="spellStart"/>
      <w:r w:rsidRPr="0061448F">
        <w:rPr>
          <w:szCs w:val="22"/>
        </w:rPr>
        <w:t>Wogalter</w:t>
      </w:r>
      <w:proofErr w:type="spellEnd"/>
      <w:r w:rsidRPr="0061448F">
        <w:rPr>
          <w:szCs w:val="22"/>
        </w:rPr>
        <w:t xml:space="preserve"> &amp; D. M. </w:t>
      </w:r>
      <w:proofErr w:type="spellStart"/>
      <w:r w:rsidRPr="0061448F">
        <w:rPr>
          <w:szCs w:val="22"/>
        </w:rPr>
        <w:t>Dejoy</w:t>
      </w:r>
      <w:proofErr w:type="spellEnd"/>
      <w:r w:rsidRPr="0061448F">
        <w:rPr>
          <w:szCs w:val="22"/>
        </w:rPr>
        <w:t xml:space="preserve"> (Eds.), </w:t>
      </w:r>
      <w:r w:rsidRPr="0061448F">
        <w:rPr>
          <w:i/>
          <w:szCs w:val="22"/>
        </w:rPr>
        <w:t>Warnings and risk communication</w:t>
      </w:r>
      <w:r w:rsidRPr="0061448F">
        <w:rPr>
          <w:szCs w:val="22"/>
        </w:rPr>
        <w:t xml:space="preserve"> (pp. 123–</w:t>
      </w:r>
      <w:r>
        <w:rPr>
          <w:szCs w:val="22"/>
        </w:rPr>
        <w:t>148). London: Taylor &amp; Francis.</w:t>
      </w:r>
    </w:p>
    <w:p w14:paraId="347E9E29" w14:textId="3D9E9923" w:rsidR="00531945" w:rsidRPr="00531945" w:rsidRDefault="0061448F" w:rsidP="0061448F">
      <w:pPr>
        <w:ind w:left="567" w:hanging="567"/>
        <w:rPr>
          <w:szCs w:val="22"/>
        </w:rPr>
      </w:pPr>
      <w:r w:rsidRPr="0061448F">
        <w:rPr>
          <w:szCs w:val="22"/>
        </w:rPr>
        <w:t xml:space="preserve">Zuckerman, A., &amp; </w:t>
      </w:r>
      <w:proofErr w:type="spellStart"/>
      <w:r w:rsidRPr="0061448F">
        <w:rPr>
          <w:szCs w:val="22"/>
        </w:rPr>
        <w:t>Chaiken</w:t>
      </w:r>
      <w:proofErr w:type="spellEnd"/>
      <w:r w:rsidRPr="0061448F">
        <w:rPr>
          <w:szCs w:val="22"/>
        </w:rPr>
        <w:t xml:space="preserve">, S. (1998). A Heuristic-Systematic Processing Analysis of the Effectiveness of Product Warning Labels. </w:t>
      </w:r>
      <w:r w:rsidRPr="0061448F">
        <w:rPr>
          <w:i/>
          <w:szCs w:val="22"/>
        </w:rPr>
        <w:t>Psychology &amp; Marketing, 15</w:t>
      </w:r>
      <w:r w:rsidRPr="0061448F">
        <w:rPr>
          <w:szCs w:val="22"/>
        </w:rPr>
        <w:t>(7), 621–642.</w:t>
      </w:r>
    </w:p>
    <w:bookmarkEnd w:id="102"/>
    <w:p w14:paraId="6BD8C072" w14:textId="77777777" w:rsidR="00531945" w:rsidRDefault="00531945" w:rsidP="00924C80">
      <w:pPr>
        <w:rPr>
          <w:color w:val="00B050"/>
          <w:sz w:val="20"/>
          <w:szCs w:val="20"/>
        </w:rPr>
      </w:pPr>
    </w:p>
    <w:bookmarkEnd w:id="86"/>
    <w:bookmarkEnd w:id="87"/>
    <w:bookmarkEnd w:id="88"/>
    <w:bookmarkEnd w:id="89"/>
    <w:bookmarkEnd w:id="90"/>
    <w:p w14:paraId="3A207047"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098013B6" w14:textId="77777777" w:rsidR="00A4175D" w:rsidRPr="00E203C2" w:rsidRDefault="00A4175D" w:rsidP="00AF06FC"/>
    <w:p w14:paraId="1180DE46" w14:textId="46D4BE83"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17DBDCE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8B6499B" w14:textId="77777777" w:rsidR="00D60568" w:rsidRPr="00E203C2" w:rsidRDefault="00D60568" w:rsidP="002432EE"/>
    <w:p w14:paraId="3432A849" w14:textId="0EFF1DE5" w:rsidR="00AB0275" w:rsidRPr="00456BD5" w:rsidRDefault="00AB0275" w:rsidP="00AB0275">
      <w:pPr>
        <w:pStyle w:val="Heading2"/>
        <w:ind w:left="0" w:firstLine="0"/>
      </w:pPr>
      <w:bookmarkStart w:id="103" w:name="_Toc300933454"/>
      <w:r w:rsidRPr="00932F14">
        <w:br w:type="page"/>
      </w:r>
      <w:bookmarkStart w:id="104" w:name="_Toc29883131"/>
      <w:bookmarkStart w:id="105" w:name="_Toc41906818"/>
      <w:bookmarkStart w:id="106" w:name="_Toc41907565"/>
      <w:bookmarkStart w:id="107" w:name="_Toc120358596"/>
      <w:bookmarkStart w:id="108" w:name="_Toc175381458"/>
      <w:bookmarkStart w:id="109" w:name="_Toc11735644"/>
      <w:bookmarkStart w:id="110" w:name="_Toc415572037"/>
      <w:bookmarkStart w:id="111" w:name="_Toc114057813"/>
      <w:r w:rsidRPr="00932F14">
        <w:lastRenderedPageBreak/>
        <w:t xml:space="preserve">Attachment </w:t>
      </w:r>
      <w:bookmarkEnd w:id="104"/>
      <w:bookmarkEnd w:id="105"/>
      <w:bookmarkEnd w:id="106"/>
      <w:bookmarkEnd w:id="107"/>
      <w:bookmarkEnd w:id="108"/>
      <w:r>
        <w:t>A</w:t>
      </w:r>
      <w:bookmarkStart w:id="112" w:name="_Toc120358597"/>
      <w:bookmarkStart w:id="113" w:name="_Toc175381459"/>
      <w:bookmarkEnd w:id="109"/>
      <w:r>
        <w:t xml:space="preserve"> –</w:t>
      </w:r>
      <w:r w:rsidR="00CA3C65">
        <w:t xml:space="preserve"> </w:t>
      </w:r>
      <w:bookmarkStart w:id="114" w:name="_Toc415572039"/>
      <w:bookmarkEnd w:id="103"/>
      <w:bookmarkEnd w:id="110"/>
      <w:bookmarkEnd w:id="112"/>
      <w:bookmarkEnd w:id="113"/>
      <w:r w:rsidR="00CA3C65">
        <w:t>D</w:t>
      </w:r>
      <w:r>
        <w:t xml:space="preserve">raft </w:t>
      </w:r>
      <w:r w:rsidRPr="00932F14">
        <w:t>variation to the</w:t>
      </w:r>
      <w:r w:rsidRPr="00755F02">
        <w:t xml:space="preserve"> </w:t>
      </w:r>
      <w:r w:rsidRPr="00795D86">
        <w:rPr>
          <w:i/>
        </w:rPr>
        <w:t>Australia New Zealand Food Standards Code</w:t>
      </w:r>
      <w:bookmarkEnd w:id="111"/>
      <w:r>
        <w:rPr>
          <w:i/>
        </w:rPr>
        <w:t xml:space="preserve"> </w:t>
      </w:r>
      <w:bookmarkEnd w:id="114"/>
    </w:p>
    <w:p w14:paraId="166EBE5B" w14:textId="77777777" w:rsidR="00AB0275" w:rsidRPr="00795D86" w:rsidRDefault="00AB0275" w:rsidP="00AB0275">
      <w:pPr>
        <w:rPr>
          <w:lang w:bidi="ar-SA"/>
        </w:rPr>
      </w:pPr>
    </w:p>
    <w:p w14:paraId="49522F17" w14:textId="77777777" w:rsidR="008736CD" w:rsidRPr="00C0014E" w:rsidRDefault="008736CD" w:rsidP="008736CD">
      <w:pPr>
        <w:rPr>
          <w:noProof/>
          <w:sz w:val="20"/>
          <w:lang w:val="en-AU" w:eastAsia="en-AU"/>
        </w:rPr>
      </w:pPr>
      <w:r w:rsidRPr="00C0014E">
        <w:rPr>
          <w:noProof/>
          <w:sz w:val="20"/>
          <w:lang w:eastAsia="en-GB" w:bidi="ar-SA"/>
        </w:rPr>
        <w:drawing>
          <wp:inline distT="0" distB="0" distL="0" distR="0" wp14:anchorId="4028B87F" wp14:editId="753AA42B">
            <wp:extent cx="2657475" cy="438150"/>
            <wp:effectExtent l="0" t="0" r="9525" b="0"/>
            <wp:docPr id="10"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0E56DA7" w14:textId="77777777" w:rsidR="008736CD" w:rsidRPr="006153A1" w:rsidRDefault="008736CD" w:rsidP="008736CD">
      <w:pPr>
        <w:pBdr>
          <w:bottom w:val="single" w:sz="4" w:space="1" w:color="auto"/>
        </w:pBdr>
        <w:rPr>
          <w:b/>
          <w:bCs/>
        </w:rPr>
      </w:pPr>
    </w:p>
    <w:p w14:paraId="2CAC99E1" w14:textId="77777777" w:rsidR="008736CD" w:rsidRDefault="008736CD" w:rsidP="008736CD">
      <w:pPr>
        <w:pBdr>
          <w:bottom w:val="single" w:sz="4" w:space="1" w:color="auto"/>
        </w:pBdr>
        <w:rPr>
          <w:b/>
          <w:sz w:val="20"/>
        </w:rPr>
      </w:pPr>
      <w:r w:rsidRPr="006153A1">
        <w:rPr>
          <w:b/>
          <w:sz w:val="20"/>
        </w:rPr>
        <w:t>Food Standards (</w:t>
      </w:r>
      <w:r>
        <w:rPr>
          <w:b/>
          <w:sz w:val="20"/>
        </w:rPr>
        <w:t xml:space="preserve">Application A1256 </w:t>
      </w:r>
      <w:r w:rsidRPr="00A32232">
        <w:rPr>
          <w:b/>
          <w:sz w:val="20"/>
        </w:rPr>
        <w:t xml:space="preserve">– </w:t>
      </w:r>
      <w:r>
        <w:rPr>
          <w:b/>
          <w:sz w:val="20"/>
        </w:rPr>
        <w:t>Colour of pregnancy warning labels for corrugated cardboard packaging)</w:t>
      </w:r>
      <w:r w:rsidRPr="00C0014E">
        <w:rPr>
          <w:b/>
          <w:sz w:val="20"/>
        </w:rPr>
        <w:t xml:space="preserve"> Variation</w:t>
      </w:r>
    </w:p>
    <w:p w14:paraId="74980A1A" w14:textId="77777777" w:rsidR="008736CD" w:rsidRPr="00C0014E" w:rsidRDefault="008736CD" w:rsidP="008736CD">
      <w:pPr>
        <w:pBdr>
          <w:bottom w:val="single" w:sz="4" w:space="1" w:color="auto"/>
        </w:pBdr>
        <w:rPr>
          <w:b/>
          <w:sz w:val="20"/>
        </w:rPr>
      </w:pPr>
    </w:p>
    <w:p w14:paraId="07C87E96" w14:textId="77777777" w:rsidR="008736CD" w:rsidRPr="008F2616" w:rsidRDefault="008736CD" w:rsidP="008736CD">
      <w:pPr>
        <w:rPr>
          <w:sz w:val="20"/>
        </w:rPr>
      </w:pPr>
    </w:p>
    <w:p w14:paraId="31ACECC7" w14:textId="77777777" w:rsidR="008736CD" w:rsidRPr="008F2616" w:rsidRDefault="008736CD" w:rsidP="008736CD">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52044F2E" w14:textId="77777777" w:rsidR="008736CD" w:rsidRPr="008F2616" w:rsidRDefault="008736CD" w:rsidP="008736CD">
      <w:pPr>
        <w:rPr>
          <w:sz w:val="20"/>
        </w:rPr>
      </w:pPr>
    </w:p>
    <w:p w14:paraId="0A5E7D18" w14:textId="77777777" w:rsidR="008736CD" w:rsidRPr="008F2616" w:rsidRDefault="008736CD" w:rsidP="008736CD">
      <w:pPr>
        <w:rPr>
          <w:sz w:val="20"/>
        </w:rPr>
      </w:pPr>
      <w:r w:rsidRPr="008F2616">
        <w:rPr>
          <w:sz w:val="20"/>
        </w:rPr>
        <w:t xml:space="preserve">Dated </w:t>
      </w:r>
      <w:r w:rsidRPr="00ED7181">
        <w:rPr>
          <w:color w:val="FF0000"/>
          <w:sz w:val="20"/>
        </w:rPr>
        <w:t>[To be completed by Delegate]</w:t>
      </w:r>
    </w:p>
    <w:p w14:paraId="65F1ABFA" w14:textId="77777777" w:rsidR="008736CD" w:rsidRPr="008F2616" w:rsidRDefault="008736CD" w:rsidP="008736CD">
      <w:pPr>
        <w:rPr>
          <w:sz w:val="20"/>
        </w:rPr>
      </w:pPr>
    </w:p>
    <w:p w14:paraId="035F80BF" w14:textId="77777777" w:rsidR="008736CD" w:rsidRDefault="008736CD" w:rsidP="008736CD">
      <w:pPr>
        <w:rPr>
          <w:sz w:val="20"/>
        </w:rPr>
      </w:pPr>
    </w:p>
    <w:p w14:paraId="01DADA96" w14:textId="77777777" w:rsidR="008736CD" w:rsidRDefault="008736CD" w:rsidP="008736CD">
      <w:pPr>
        <w:rPr>
          <w:sz w:val="20"/>
        </w:rPr>
      </w:pPr>
    </w:p>
    <w:p w14:paraId="44004CA3" w14:textId="77777777" w:rsidR="008736CD" w:rsidRPr="008F2616" w:rsidRDefault="008736CD" w:rsidP="008736CD">
      <w:pPr>
        <w:rPr>
          <w:sz w:val="20"/>
        </w:rPr>
      </w:pPr>
    </w:p>
    <w:p w14:paraId="5A88E022" w14:textId="77777777" w:rsidR="008736CD" w:rsidRPr="008F2616" w:rsidRDefault="008736CD" w:rsidP="008736CD">
      <w:pPr>
        <w:rPr>
          <w:sz w:val="20"/>
        </w:rPr>
      </w:pPr>
    </w:p>
    <w:p w14:paraId="500B5DCE" w14:textId="77777777" w:rsidR="008736CD" w:rsidRPr="008F2616" w:rsidRDefault="008736CD" w:rsidP="008736CD">
      <w:pPr>
        <w:rPr>
          <w:sz w:val="20"/>
        </w:rPr>
      </w:pPr>
      <w:r w:rsidRPr="00ED7181">
        <w:rPr>
          <w:color w:val="FF0000"/>
          <w:sz w:val="20"/>
        </w:rPr>
        <w:t>[Insert Delegate’s name and position]</w:t>
      </w:r>
    </w:p>
    <w:p w14:paraId="5F1A7F6D" w14:textId="77777777" w:rsidR="008736CD" w:rsidRPr="008F2616" w:rsidRDefault="008736CD" w:rsidP="008736CD">
      <w:pPr>
        <w:rPr>
          <w:sz w:val="20"/>
        </w:rPr>
      </w:pPr>
      <w:r w:rsidRPr="008F2616">
        <w:rPr>
          <w:sz w:val="20"/>
        </w:rPr>
        <w:t>Delegate of the Board of Food Standards Australia New Zealand</w:t>
      </w:r>
    </w:p>
    <w:p w14:paraId="16975F67" w14:textId="77777777" w:rsidR="008736CD" w:rsidRDefault="008736CD" w:rsidP="008736CD">
      <w:pPr>
        <w:rPr>
          <w:sz w:val="20"/>
        </w:rPr>
      </w:pPr>
    </w:p>
    <w:p w14:paraId="4833ADFC" w14:textId="77777777" w:rsidR="008736CD" w:rsidRDefault="008736CD" w:rsidP="008736CD">
      <w:pPr>
        <w:rPr>
          <w:sz w:val="20"/>
        </w:rPr>
      </w:pPr>
    </w:p>
    <w:p w14:paraId="01A685E6" w14:textId="77777777" w:rsidR="008736CD" w:rsidRDefault="008736CD" w:rsidP="008736CD">
      <w:pPr>
        <w:rPr>
          <w:sz w:val="20"/>
        </w:rPr>
      </w:pPr>
    </w:p>
    <w:p w14:paraId="6C6B8ADD" w14:textId="77777777" w:rsidR="008736CD" w:rsidRDefault="008736CD" w:rsidP="008736CD">
      <w:pPr>
        <w:rPr>
          <w:sz w:val="20"/>
        </w:rPr>
      </w:pPr>
    </w:p>
    <w:p w14:paraId="74BB36F8" w14:textId="77777777" w:rsidR="008736CD" w:rsidRDefault="008736CD" w:rsidP="008736CD">
      <w:pPr>
        <w:rPr>
          <w:sz w:val="20"/>
        </w:rPr>
      </w:pPr>
    </w:p>
    <w:p w14:paraId="4D38C90B" w14:textId="77777777" w:rsidR="008736CD" w:rsidRPr="00360C8F" w:rsidRDefault="008736CD" w:rsidP="008736CD">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16859C11" w14:textId="77777777" w:rsidR="008736CD" w:rsidRPr="00360C8F" w:rsidRDefault="008736CD" w:rsidP="008736CD">
      <w:pPr>
        <w:pBdr>
          <w:top w:val="single" w:sz="4" w:space="1" w:color="auto"/>
          <w:left w:val="single" w:sz="4" w:space="4" w:color="auto"/>
          <w:bottom w:val="single" w:sz="4" w:space="1" w:color="auto"/>
          <w:right w:val="single" w:sz="4" w:space="4" w:color="auto"/>
        </w:pBdr>
        <w:rPr>
          <w:sz w:val="20"/>
          <w:lang w:val="en-AU"/>
        </w:rPr>
      </w:pPr>
    </w:p>
    <w:p w14:paraId="1EC0EF53" w14:textId="77777777" w:rsidR="008736CD" w:rsidRPr="00360C8F" w:rsidRDefault="008736CD" w:rsidP="008736CD">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6AAA1100" w14:textId="77777777" w:rsidR="008736CD" w:rsidRDefault="008736CD" w:rsidP="008736CD">
      <w:pPr>
        <w:rPr>
          <w:sz w:val="20"/>
        </w:rPr>
      </w:pPr>
    </w:p>
    <w:p w14:paraId="195B22A4" w14:textId="77777777" w:rsidR="008736CD" w:rsidRDefault="008736CD" w:rsidP="008736CD">
      <w:pPr>
        <w:widowControl/>
        <w:rPr>
          <w:sz w:val="20"/>
        </w:rPr>
      </w:pPr>
      <w:r>
        <w:rPr>
          <w:sz w:val="20"/>
        </w:rPr>
        <w:br w:type="page"/>
      </w:r>
    </w:p>
    <w:p w14:paraId="584CA7CC" w14:textId="77777777" w:rsidR="008736CD" w:rsidRPr="005F585D" w:rsidRDefault="008736CD" w:rsidP="008736CD">
      <w:pPr>
        <w:pStyle w:val="FSCDraftingitemheading"/>
      </w:pPr>
      <w:r w:rsidRPr="00D433B1">
        <w:lastRenderedPageBreak/>
        <w:t>1</w:t>
      </w:r>
      <w:r w:rsidRPr="00D433B1">
        <w:tab/>
        <w:t>Name</w:t>
      </w:r>
    </w:p>
    <w:p w14:paraId="0FCE1C1F" w14:textId="77777777" w:rsidR="008736CD" w:rsidRPr="00F618DF" w:rsidRDefault="008736CD" w:rsidP="008736CD">
      <w:pPr>
        <w:pStyle w:val="FSCDraftingitem"/>
      </w:pPr>
      <w:r w:rsidRPr="00DB170D">
        <w:t xml:space="preserve">This instrument is the </w:t>
      </w:r>
      <w:r w:rsidRPr="00792F7C">
        <w:rPr>
          <w:i/>
        </w:rPr>
        <w:t>Food Standards (A</w:t>
      </w:r>
      <w:r>
        <w:rPr>
          <w:i/>
        </w:rPr>
        <w:t>pplication A1256</w:t>
      </w:r>
      <w:r w:rsidRPr="00792F7C">
        <w:rPr>
          <w:i/>
        </w:rPr>
        <w:t xml:space="preserve"> – </w:t>
      </w:r>
      <w:r>
        <w:rPr>
          <w:i/>
        </w:rPr>
        <w:t>Colour of pregnancy warning labels for corrugated cardboard packaging</w:t>
      </w:r>
      <w:r w:rsidRPr="00792F7C">
        <w:rPr>
          <w:i/>
        </w:rPr>
        <w:t>) Variation</w:t>
      </w:r>
      <w:r w:rsidRPr="00F618DF">
        <w:t>.</w:t>
      </w:r>
    </w:p>
    <w:p w14:paraId="71199106" w14:textId="77777777" w:rsidR="008736CD" w:rsidRPr="00BA7AF9" w:rsidRDefault="008736CD" w:rsidP="008736CD">
      <w:pPr>
        <w:pStyle w:val="FSCDraftingitemheading"/>
      </w:pPr>
      <w:r w:rsidRPr="00D433B1">
        <w:t>2</w:t>
      </w:r>
      <w:r w:rsidRPr="00D433B1">
        <w:tab/>
        <w:t xml:space="preserve">Variation </w:t>
      </w:r>
      <w:r w:rsidRPr="00BA7AF9">
        <w:t xml:space="preserve">to </w:t>
      </w:r>
      <w:r>
        <w:t>a standard</w:t>
      </w:r>
      <w:r w:rsidRPr="00BA7AF9">
        <w:t xml:space="preserve"> in the </w:t>
      </w:r>
      <w:r w:rsidRPr="00BA7AF9">
        <w:rPr>
          <w:i/>
        </w:rPr>
        <w:t>Australia New Zealand Food Standards Code</w:t>
      </w:r>
    </w:p>
    <w:p w14:paraId="7CDD831F" w14:textId="77777777" w:rsidR="008736CD" w:rsidRDefault="008736CD" w:rsidP="008736CD">
      <w:pPr>
        <w:pStyle w:val="FSCDraftingitem"/>
      </w:pPr>
      <w:r w:rsidRPr="00BA7AF9">
        <w:t>The Schedule varies</w:t>
      </w:r>
      <w:r>
        <w:t xml:space="preserve"> a</w:t>
      </w:r>
      <w:r w:rsidRPr="00BA7AF9">
        <w:t xml:space="preserve"> S</w:t>
      </w:r>
      <w:r>
        <w:t xml:space="preserve">tandard </w:t>
      </w:r>
      <w:r w:rsidRPr="00BA7AF9">
        <w:t xml:space="preserve">in </w:t>
      </w:r>
      <w:r>
        <w:t xml:space="preserve">the </w:t>
      </w:r>
      <w:r w:rsidRPr="00792F7C">
        <w:rPr>
          <w:i/>
        </w:rPr>
        <w:t>Australia New Zealand Food Standards Code</w:t>
      </w:r>
      <w:r>
        <w:t>.</w:t>
      </w:r>
    </w:p>
    <w:p w14:paraId="58FC247C" w14:textId="77777777" w:rsidR="008736CD" w:rsidRPr="00D433B1" w:rsidRDefault="008736CD" w:rsidP="008736CD">
      <w:pPr>
        <w:pStyle w:val="FSCDraftingitemheading"/>
      </w:pPr>
      <w:r w:rsidRPr="00D433B1">
        <w:t>3</w:t>
      </w:r>
      <w:r w:rsidRPr="00D433B1">
        <w:tab/>
        <w:t>Commencement</w:t>
      </w:r>
    </w:p>
    <w:p w14:paraId="5C109C5C" w14:textId="77777777" w:rsidR="008736CD" w:rsidRDefault="008736CD" w:rsidP="008736CD">
      <w:pPr>
        <w:pStyle w:val="FSCDraftingitem"/>
      </w:pPr>
      <w:r>
        <w:t>The variation commenc</w:t>
      </w:r>
      <w:r w:rsidRPr="000055C4">
        <w:t>e</w:t>
      </w:r>
      <w:r>
        <w:t>s</w:t>
      </w:r>
      <w:r w:rsidRPr="000055C4">
        <w:t xml:space="preserve"> on</w:t>
      </w:r>
      <w:r>
        <w:t xml:space="preserve"> the date of gazettal.</w:t>
      </w:r>
    </w:p>
    <w:p w14:paraId="044B642B" w14:textId="77777777" w:rsidR="008736CD" w:rsidRPr="004E0480" w:rsidRDefault="008736CD" w:rsidP="008736CD">
      <w:pPr>
        <w:rPr>
          <w:b/>
          <w:sz w:val="20"/>
        </w:rPr>
      </w:pPr>
      <w:r w:rsidRPr="004E0480">
        <w:rPr>
          <w:b/>
          <w:sz w:val="20"/>
        </w:rPr>
        <w:t>4</w:t>
      </w:r>
      <w:r w:rsidRPr="004E0480">
        <w:rPr>
          <w:b/>
          <w:sz w:val="20"/>
        </w:rPr>
        <w:tab/>
        <w:t>Effect of the variations made by this instrument</w:t>
      </w:r>
    </w:p>
    <w:p w14:paraId="5B4E8AEE" w14:textId="77777777" w:rsidR="008736CD" w:rsidRPr="004E0480" w:rsidRDefault="008736CD" w:rsidP="008736CD">
      <w:pPr>
        <w:pStyle w:val="FSCDraftingitem"/>
      </w:pPr>
      <w:r w:rsidRPr="004E0480">
        <w:t>(1)</w:t>
      </w:r>
      <w:r w:rsidRPr="004E0480">
        <w:tab/>
        <w:t>Section 1.1.1—9 of Standard 1.1.1 does not apply to the variations made by this instrument.</w:t>
      </w:r>
    </w:p>
    <w:p w14:paraId="6F34A6F9" w14:textId="77777777" w:rsidR="008736CD" w:rsidRDefault="008736CD" w:rsidP="008736CD">
      <w:pPr>
        <w:pStyle w:val="FSCDraftingitem"/>
        <w:tabs>
          <w:tab w:val="left" w:pos="6804"/>
        </w:tabs>
        <w:ind w:left="851" w:hanging="851"/>
      </w:pPr>
      <w:r w:rsidRPr="004E0480">
        <w:t>(2)</w:t>
      </w:r>
      <w:r w:rsidRPr="004E0480">
        <w:tab/>
        <w:t>This clause applies to</w:t>
      </w:r>
      <w:r>
        <w:t xml:space="preserve"> a</w:t>
      </w:r>
      <w:r w:rsidRPr="004E0480">
        <w:t xml:space="preserve"> food product that is an</w:t>
      </w:r>
      <w:r>
        <w:t xml:space="preserve"> alcoholic beverage:</w:t>
      </w:r>
      <w:r w:rsidRPr="004E0480">
        <w:t xml:space="preserve"> </w:t>
      </w:r>
    </w:p>
    <w:p w14:paraId="51F6887B" w14:textId="77777777" w:rsidR="008736CD" w:rsidRDefault="008736CD" w:rsidP="008736CD">
      <w:pPr>
        <w:pStyle w:val="FSCDraftingitem"/>
        <w:tabs>
          <w:tab w:val="left" w:pos="6804"/>
        </w:tabs>
        <w:spacing w:before="60" w:after="60"/>
        <w:ind w:left="1418" w:hanging="1418"/>
      </w:pPr>
      <w:r>
        <w:tab/>
        <w:t xml:space="preserve">(a) </w:t>
      </w:r>
      <w:r>
        <w:tab/>
        <w:t xml:space="preserve">that is </w:t>
      </w:r>
      <w:r w:rsidRPr="004E0480">
        <w:t>required by subsection 2.7.1—10(1) of the Code to display a pregnancy warning mark on its outer package</w:t>
      </w:r>
      <w:r>
        <w:t>; and</w:t>
      </w:r>
    </w:p>
    <w:p w14:paraId="79DEB16B" w14:textId="5B542ED5" w:rsidR="008736CD" w:rsidRPr="004E0480" w:rsidRDefault="008736CD" w:rsidP="008736CD">
      <w:pPr>
        <w:pStyle w:val="FSCDraftingitem"/>
        <w:tabs>
          <w:tab w:val="left" w:pos="6804"/>
        </w:tabs>
        <w:spacing w:before="60" w:after="60"/>
        <w:ind w:left="1418" w:hanging="1418"/>
      </w:pPr>
      <w:r>
        <w:tab/>
        <w:t>(b)</w:t>
      </w:r>
      <w:r>
        <w:tab/>
        <w:t>to which subsection 2.7.1—13</w:t>
      </w:r>
      <w:r w:rsidR="00757686">
        <w:t>(2)</w:t>
      </w:r>
      <w:r w:rsidRPr="004E0480">
        <w:t xml:space="preserve"> of the Code</w:t>
      </w:r>
      <w:r>
        <w:t xml:space="preserve"> applies.</w:t>
      </w:r>
    </w:p>
    <w:p w14:paraId="6F4954CC" w14:textId="77777777" w:rsidR="008736CD" w:rsidRPr="004E0480" w:rsidRDefault="008736CD" w:rsidP="008736CD">
      <w:pPr>
        <w:pStyle w:val="FSCDraftingitem"/>
        <w:ind w:left="851" w:hanging="851"/>
      </w:pPr>
      <w:r w:rsidRPr="004E0480">
        <w:t>(3)</w:t>
      </w:r>
      <w:r w:rsidRPr="004E0480">
        <w:tab/>
        <w:t>During the transition period, the food product</w:t>
      </w:r>
      <w:r w:rsidRPr="004E0480" w:rsidDel="002F5C1A">
        <w:t xml:space="preserve"> </w:t>
      </w:r>
      <w:r w:rsidRPr="004E0480">
        <w:t xml:space="preserve">may be sold if </w:t>
      </w:r>
      <w:r>
        <w:t xml:space="preserve">the product </w:t>
      </w:r>
      <w:r w:rsidRPr="004E0480">
        <w:t>complies with one of the following:</w:t>
      </w:r>
    </w:p>
    <w:p w14:paraId="6B470AEC" w14:textId="77777777" w:rsidR="008736CD" w:rsidRPr="004E0480" w:rsidRDefault="008736CD" w:rsidP="008736CD">
      <w:pPr>
        <w:pStyle w:val="FSCDraftingitem"/>
        <w:spacing w:before="60" w:after="60"/>
        <w:ind w:left="1418" w:hanging="1418"/>
      </w:pPr>
      <w:r>
        <w:tab/>
        <w:t>(a</w:t>
      </w:r>
      <w:r w:rsidRPr="004E0480">
        <w:t>)</w:t>
      </w:r>
      <w:r w:rsidRPr="004E0480">
        <w:tab/>
        <w:t>the Code as in force without the pregnancy warning label amendments; or</w:t>
      </w:r>
    </w:p>
    <w:p w14:paraId="1F7AE078" w14:textId="77777777" w:rsidR="008736CD" w:rsidRPr="004E0480" w:rsidRDefault="008736CD" w:rsidP="008736CD">
      <w:pPr>
        <w:pStyle w:val="FSCDraftingitem"/>
        <w:spacing w:before="60" w:after="60"/>
        <w:ind w:left="1418" w:hanging="1418"/>
      </w:pPr>
      <w:r>
        <w:tab/>
        <w:t>(b</w:t>
      </w:r>
      <w:r w:rsidRPr="004E0480">
        <w:t xml:space="preserve">) </w:t>
      </w:r>
      <w:r w:rsidRPr="004E0480">
        <w:tab/>
        <w:t>the Code as amended by the pregnancy warning label amendments.</w:t>
      </w:r>
    </w:p>
    <w:p w14:paraId="48022240" w14:textId="77777777" w:rsidR="008736CD" w:rsidRPr="004E0480" w:rsidRDefault="008736CD" w:rsidP="008736CD">
      <w:pPr>
        <w:pStyle w:val="FSCDraftingitem"/>
        <w:ind w:left="851" w:hanging="851"/>
      </w:pPr>
      <w:r>
        <w:t>(4</w:t>
      </w:r>
      <w:r w:rsidRPr="004E0480">
        <w:t>)</w:t>
      </w:r>
      <w:r w:rsidRPr="004E0480">
        <w:tab/>
        <w:t>The food product may be sold after the transition period if</w:t>
      </w:r>
      <w:r>
        <w:t>:</w:t>
      </w:r>
    </w:p>
    <w:p w14:paraId="14E8D61B" w14:textId="77777777" w:rsidR="008736CD" w:rsidRDefault="008736CD" w:rsidP="008736CD">
      <w:pPr>
        <w:pStyle w:val="FSCDraftingitem"/>
        <w:spacing w:before="60" w:after="60"/>
        <w:ind w:left="1418" w:hanging="1418"/>
        <w:rPr>
          <w:rFonts w:cs="Arial"/>
        </w:rPr>
      </w:pPr>
      <w:r w:rsidRPr="004E0480">
        <w:tab/>
        <w:t xml:space="preserve">(a) </w:t>
      </w:r>
      <w:r w:rsidRPr="004E0480">
        <w:tab/>
      </w:r>
      <w:r>
        <w:t>the product complies with</w:t>
      </w:r>
      <w:r w:rsidRPr="004E0480">
        <w:t xml:space="preserve"> the Code as amended by the pregnancy warning label amendments</w:t>
      </w:r>
      <w:r>
        <w:t>; or</w:t>
      </w:r>
      <w:r w:rsidRPr="004E0480">
        <w:rPr>
          <w:rFonts w:cs="Arial"/>
        </w:rPr>
        <w:t xml:space="preserve"> </w:t>
      </w:r>
    </w:p>
    <w:p w14:paraId="436A9004" w14:textId="77777777" w:rsidR="008736CD" w:rsidRPr="00010889" w:rsidRDefault="008736CD" w:rsidP="008736CD">
      <w:pPr>
        <w:pStyle w:val="FSCDraftingitem"/>
        <w:spacing w:before="60" w:after="60"/>
        <w:ind w:left="1418" w:hanging="1418"/>
      </w:pPr>
      <w:r>
        <w:tab/>
        <w:t>(b)</w:t>
      </w:r>
      <w:r>
        <w:tab/>
      </w:r>
      <w:r w:rsidRPr="00010889">
        <w:t>both the following apply:</w:t>
      </w:r>
    </w:p>
    <w:p w14:paraId="6A23CADC" w14:textId="77777777" w:rsidR="008736CD" w:rsidRPr="00010889" w:rsidRDefault="008736CD" w:rsidP="008736CD">
      <w:pPr>
        <w:pStyle w:val="FSCDraftingitem"/>
        <w:tabs>
          <w:tab w:val="clear" w:pos="851"/>
          <w:tab w:val="left" w:pos="1418"/>
        </w:tabs>
        <w:spacing w:before="60" w:after="60"/>
        <w:ind w:left="1985" w:hanging="1985"/>
        <w:rPr>
          <w:rFonts w:cs="Arial"/>
        </w:rPr>
      </w:pPr>
      <w:r w:rsidRPr="00010889">
        <w:tab/>
        <w:t>(</w:t>
      </w:r>
      <w:proofErr w:type="spellStart"/>
      <w:r w:rsidRPr="00010889">
        <w:t>i</w:t>
      </w:r>
      <w:proofErr w:type="spellEnd"/>
      <w:r w:rsidRPr="00010889">
        <w:t>)</w:t>
      </w:r>
      <w:r w:rsidRPr="00010889">
        <w:tab/>
      </w:r>
      <w:r w:rsidRPr="00010889">
        <w:rPr>
          <w:rFonts w:cs="Arial"/>
        </w:rPr>
        <w:t>the product was packaged and labelled before 2 February 2024; and</w:t>
      </w:r>
    </w:p>
    <w:p w14:paraId="7A2A38DA" w14:textId="77777777" w:rsidR="008736CD" w:rsidRPr="00010889" w:rsidRDefault="008736CD" w:rsidP="008736CD">
      <w:pPr>
        <w:pStyle w:val="FSCDraftingitem"/>
        <w:tabs>
          <w:tab w:val="clear" w:pos="851"/>
          <w:tab w:val="left" w:pos="1418"/>
        </w:tabs>
        <w:spacing w:before="60" w:after="60"/>
        <w:ind w:left="1985" w:hanging="1985"/>
      </w:pPr>
      <w:r w:rsidRPr="00010889">
        <w:rPr>
          <w:rFonts w:cs="Arial"/>
        </w:rPr>
        <w:tab/>
        <w:t>(ii)</w:t>
      </w:r>
      <w:r w:rsidRPr="00010889">
        <w:rPr>
          <w:rFonts w:cs="Arial"/>
        </w:rPr>
        <w:tab/>
      </w:r>
      <w:r w:rsidRPr="00010889">
        <w:t xml:space="preserve">the labelling on </w:t>
      </w:r>
      <w:r>
        <w:t>the product’s</w:t>
      </w:r>
      <w:r w:rsidRPr="00010889">
        <w:t xml:space="preserve"> outer package complies with the Code as in force without the pregnancy warning label amendments.</w:t>
      </w:r>
    </w:p>
    <w:p w14:paraId="153CEC75" w14:textId="1A358161" w:rsidR="00F66D85" w:rsidRPr="00F66D85" w:rsidRDefault="008736CD" w:rsidP="008736CD">
      <w:pPr>
        <w:spacing w:before="120" w:after="120"/>
        <w:ind w:left="851" w:hanging="851"/>
        <w:rPr>
          <w:sz w:val="20"/>
          <w:szCs w:val="20"/>
        </w:rPr>
      </w:pPr>
      <w:r w:rsidRPr="00F66D85">
        <w:rPr>
          <w:sz w:val="20"/>
          <w:szCs w:val="20"/>
        </w:rPr>
        <w:t>(5)</w:t>
      </w:r>
      <w:r w:rsidRPr="00F66D85">
        <w:rPr>
          <w:sz w:val="20"/>
          <w:szCs w:val="20"/>
        </w:rPr>
        <w:tab/>
      </w:r>
      <w:r w:rsidR="00F66D85" w:rsidRPr="00F66D85">
        <w:rPr>
          <w:sz w:val="20"/>
          <w:szCs w:val="20"/>
        </w:rPr>
        <w:t>T</w:t>
      </w:r>
      <w:r w:rsidR="00F66D85">
        <w:rPr>
          <w:sz w:val="20"/>
          <w:szCs w:val="20"/>
        </w:rPr>
        <w:t xml:space="preserve">his clause </w:t>
      </w:r>
      <w:r w:rsidR="00F66D85" w:rsidRPr="00F66D85">
        <w:rPr>
          <w:sz w:val="20"/>
          <w:szCs w:val="20"/>
        </w:rPr>
        <w:t xml:space="preserve">does not limit clause 4 of the </w:t>
      </w:r>
      <w:r w:rsidR="00F66D85" w:rsidRPr="00F66D85">
        <w:rPr>
          <w:i/>
          <w:iCs/>
          <w:sz w:val="20"/>
          <w:szCs w:val="20"/>
        </w:rPr>
        <w:t>Food Standards (Proposal P1050 – Pregnancy warning labels on alcoholic beverages) Variation</w:t>
      </w:r>
      <w:r w:rsidR="00F66D85">
        <w:rPr>
          <w:sz w:val="20"/>
          <w:szCs w:val="20"/>
        </w:rPr>
        <w:t>.</w:t>
      </w:r>
    </w:p>
    <w:p w14:paraId="40D408B8" w14:textId="1B36033F" w:rsidR="008736CD" w:rsidRPr="004E0480" w:rsidRDefault="00F66D85" w:rsidP="008736CD">
      <w:pPr>
        <w:spacing w:before="120" w:after="120"/>
        <w:ind w:left="851" w:hanging="851"/>
        <w:rPr>
          <w:rFonts w:cs="Arial"/>
          <w:sz w:val="20"/>
        </w:rPr>
      </w:pPr>
      <w:r>
        <w:rPr>
          <w:sz w:val="20"/>
        </w:rPr>
        <w:t>(6)</w:t>
      </w:r>
      <w:r>
        <w:rPr>
          <w:sz w:val="20"/>
        </w:rPr>
        <w:tab/>
      </w:r>
      <w:r w:rsidR="008736CD">
        <w:rPr>
          <w:rFonts w:cs="Arial"/>
          <w:sz w:val="20"/>
        </w:rPr>
        <w:t>For the purposes of this clause:</w:t>
      </w:r>
      <w:r w:rsidR="008736CD" w:rsidRPr="004E0480">
        <w:rPr>
          <w:rFonts w:cs="Arial"/>
          <w:sz w:val="20"/>
        </w:rPr>
        <w:t xml:space="preserve"> </w:t>
      </w:r>
    </w:p>
    <w:p w14:paraId="215F48B2" w14:textId="77777777" w:rsidR="008736CD" w:rsidRPr="004E0480" w:rsidRDefault="008736CD" w:rsidP="00FA3085">
      <w:pPr>
        <w:widowControl/>
        <w:numPr>
          <w:ilvl w:val="0"/>
          <w:numId w:val="18"/>
        </w:numPr>
        <w:spacing w:before="60" w:after="60"/>
        <w:ind w:left="1418" w:hanging="567"/>
        <w:contextualSpacing/>
        <w:rPr>
          <w:rFonts w:cs="Arial"/>
          <w:sz w:val="20"/>
        </w:rPr>
      </w:pPr>
      <w:r w:rsidRPr="004E0480">
        <w:rPr>
          <w:sz w:val="20"/>
        </w:rPr>
        <w:t xml:space="preserve">the </w:t>
      </w:r>
      <w:r w:rsidRPr="004E0480">
        <w:rPr>
          <w:b/>
          <w:sz w:val="20"/>
        </w:rPr>
        <w:t>pregnancy warning label amendments</w:t>
      </w:r>
      <w:r w:rsidRPr="004E0480">
        <w:rPr>
          <w:sz w:val="20"/>
        </w:rPr>
        <w:t xml:space="preserve"> means the variations made by both of the following</w:t>
      </w:r>
      <w:r>
        <w:rPr>
          <w:b/>
          <w:sz w:val="20"/>
        </w:rPr>
        <w:t>:</w:t>
      </w:r>
    </w:p>
    <w:p w14:paraId="5F74A3F0" w14:textId="77777777" w:rsidR="008736CD" w:rsidRPr="004E0480" w:rsidRDefault="008736CD" w:rsidP="00FA3085">
      <w:pPr>
        <w:pStyle w:val="FSCDraftingitem"/>
        <w:numPr>
          <w:ilvl w:val="0"/>
          <w:numId w:val="20"/>
        </w:numPr>
        <w:tabs>
          <w:tab w:val="clear" w:pos="851"/>
          <w:tab w:val="left" w:pos="993"/>
        </w:tabs>
        <w:spacing w:before="60" w:after="60"/>
        <w:ind w:left="1985" w:hanging="567"/>
      </w:pPr>
      <w:r w:rsidRPr="004E0480">
        <w:t xml:space="preserve">this instrument; and </w:t>
      </w:r>
    </w:p>
    <w:p w14:paraId="18C20EC6" w14:textId="77777777" w:rsidR="008736CD" w:rsidRPr="004E0480" w:rsidRDefault="008736CD" w:rsidP="008736CD">
      <w:pPr>
        <w:pStyle w:val="FSCDraftingitem"/>
        <w:tabs>
          <w:tab w:val="clear" w:pos="851"/>
          <w:tab w:val="left" w:pos="1134"/>
        </w:tabs>
        <w:spacing w:before="60" w:after="60"/>
        <w:ind w:left="1985" w:hanging="567"/>
      </w:pPr>
      <w:r w:rsidRPr="004E0480">
        <w:t>(ii)</w:t>
      </w:r>
      <w:r w:rsidRPr="004E0480">
        <w:tab/>
        <w:t xml:space="preserve">the </w:t>
      </w:r>
      <w:r w:rsidRPr="004E0480">
        <w:rPr>
          <w:i/>
          <w:iCs/>
        </w:rPr>
        <w:t>Food Standards (Proposal P1050 – Pregnancy warning labels on alcoholic beverages) Variation</w:t>
      </w:r>
      <w:r w:rsidRPr="004E0480">
        <w:rPr>
          <w:iCs/>
        </w:rPr>
        <w:t>;</w:t>
      </w:r>
    </w:p>
    <w:p w14:paraId="67BD7A93" w14:textId="77777777" w:rsidR="008736CD" w:rsidRPr="006D53E5" w:rsidRDefault="008736CD" w:rsidP="00FA3085">
      <w:pPr>
        <w:widowControl/>
        <w:numPr>
          <w:ilvl w:val="0"/>
          <w:numId w:val="18"/>
        </w:numPr>
        <w:spacing w:before="60" w:after="60"/>
        <w:ind w:left="1418" w:hanging="491"/>
        <w:contextualSpacing/>
        <w:rPr>
          <w:rFonts w:cs="Arial"/>
          <w:sz w:val="20"/>
        </w:rPr>
      </w:pPr>
      <w:r w:rsidRPr="004E0480">
        <w:rPr>
          <w:rFonts w:cs="Arial"/>
          <w:sz w:val="20"/>
        </w:rPr>
        <w:t xml:space="preserve">the </w:t>
      </w:r>
      <w:r w:rsidRPr="004E0480">
        <w:rPr>
          <w:rFonts w:cs="Arial"/>
          <w:b/>
          <w:sz w:val="20"/>
        </w:rPr>
        <w:t>transition period</w:t>
      </w:r>
      <w:r w:rsidRPr="004E0480">
        <w:rPr>
          <w:rFonts w:cs="Arial"/>
          <w:sz w:val="20"/>
        </w:rPr>
        <w:t xml:space="preserve"> means the period commencing on </w:t>
      </w:r>
      <w:r>
        <w:rPr>
          <w:rFonts w:cs="Arial"/>
          <w:sz w:val="20"/>
        </w:rPr>
        <w:t>this instrument’s</w:t>
      </w:r>
      <w:r w:rsidRPr="004E0480">
        <w:rPr>
          <w:rFonts w:cs="Arial"/>
          <w:sz w:val="20"/>
        </w:rPr>
        <w:t xml:space="preserve"> date of commencement and ending on </w:t>
      </w:r>
      <w:r>
        <w:rPr>
          <w:rFonts w:cs="Arial"/>
          <w:sz w:val="20"/>
        </w:rPr>
        <w:t>1 February 2024</w:t>
      </w:r>
      <w:r w:rsidRPr="006D53E5">
        <w:rPr>
          <w:rFonts w:cs="Arial"/>
          <w:sz w:val="20"/>
        </w:rPr>
        <w:t>.</w:t>
      </w:r>
    </w:p>
    <w:p w14:paraId="6B143F87" w14:textId="77777777" w:rsidR="008736CD" w:rsidRPr="004E0480" w:rsidRDefault="008736CD" w:rsidP="008736CD">
      <w:pPr>
        <w:widowControl/>
        <w:spacing w:before="60" w:after="60"/>
        <w:ind w:left="1418"/>
        <w:contextualSpacing/>
        <w:rPr>
          <w:rFonts w:cs="Arial"/>
          <w:sz w:val="20"/>
        </w:rPr>
      </w:pPr>
    </w:p>
    <w:p w14:paraId="02D60DFD" w14:textId="77777777" w:rsidR="008736CD" w:rsidRDefault="008736CD" w:rsidP="008736CD">
      <w:pPr>
        <w:jc w:val="center"/>
        <w:rPr>
          <w:rFonts w:cs="Arial"/>
          <w:sz w:val="20"/>
        </w:rPr>
      </w:pPr>
    </w:p>
    <w:p w14:paraId="68E364C5" w14:textId="77777777" w:rsidR="008736CD" w:rsidRPr="00D433B1" w:rsidRDefault="008736CD" w:rsidP="008736CD">
      <w:pPr>
        <w:jc w:val="center"/>
        <w:rPr>
          <w:b/>
          <w:sz w:val="20"/>
        </w:rPr>
      </w:pPr>
      <w:r w:rsidRPr="00D433B1">
        <w:rPr>
          <w:b/>
          <w:sz w:val="20"/>
        </w:rPr>
        <w:t>Schedule</w:t>
      </w:r>
    </w:p>
    <w:p w14:paraId="769DCCCE" w14:textId="77777777" w:rsidR="008736CD" w:rsidRPr="003410CC" w:rsidRDefault="008736CD" w:rsidP="008736CD">
      <w:pPr>
        <w:pStyle w:val="FSCDraftingitem"/>
        <w:rPr>
          <w:i/>
        </w:rPr>
      </w:pPr>
      <w:r w:rsidRPr="003410CC">
        <w:rPr>
          <w:b/>
          <w:i/>
          <w:lang w:bidi="en-US"/>
        </w:rPr>
        <w:t>Standard 2.7.1</w:t>
      </w:r>
    </w:p>
    <w:p w14:paraId="1EC6F99E" w14:textId="77777777" w:rsidR="008736CD" w:rsidRPr="003410CC" w:rsidRDefault="008736CD" w:rsidP="008736CD">
      <w:pPr>
        <w:pStyle w:val="FSCDraftingitem"/>
        <w:rPr>
          <w:b/>
        </w:rPr>
      </w:pPr>
      <w:r>
        <w:rPr>
          <w:b/>
        </w:rPr>
        <w:t>[</w:t>
      </w:r>
      <w:r w:rsidRPr="003410CC">
        <w:rPr>
          <w:b/>
        </w:rPr>
        <w:t>1</w:t>
      </w:r>
      <w:r>
        <w:rPr>
          <w:b/>
        </w:rPr>
        <w:t>]</w:t>
      </w:r>
      <w:r w:rsidRPr="003410CC">
        <w:rPr>
          <w:b/>
        </w:rPr>
        <w:tab/>
        <w:t>After subsection 2.7.1—10(2)</w:t>
      </w:r>
    </w:p>
    <w:p w14:paraId="5262E2C3" w14:textId="77777777" w:rsidR="008736CD" w:rsidRPr="00BA7AF9" w:rsidRDefault="008736CD" w:rsidP="008736CD">
      <w:pPr>
        <w:pStyle w:val="FSCDraftingitem"/>
      </w:pPr>
      <w:r>
        <w:tab/>
        <w:t>Insert</w:t>
      </w:r>
      <w:r w:rsidRPr="00BA7AF9">
        <w:tab/>
      </w:r>
    </w:p>
    <w:p w14:paraId="36A22DCE" w14:textId="77777777" w:rsidR="008736CD" w:rsidRDefault="008736CD" w:rsidP="008736CD">
      <w:pPr>
        <w:tabs>
          <w:tab w:val="left" w:pos="1134"/>
        </w:tabs>
        <w:ind w:left="1701" w:hanging="1701"/>
        <w:rPr>
          <w:sz w:val="20"/>
        </w:rPr>
      </w:pPr>
      <w:r w:rsidRPr="00410C1A">
        <w:rPr>
          <w:sz w:val="20"/>
        </w:rPr>
        <w:tab/>
        <w:t xml:space="preserve">(2A) </w:t>
      </w:r>
      <w:r w:rsidRPr="00410C1A">
        <w:rPr>
          <w:sz w:val="20"/>
        </w:rPr>
        <w:tab/>
        <w:t>Subsection (2) does not apply to a *pregnancy warning mark to which section 2.7.1—13 applies.</w:t>
      </w:r>
    </w:p>
    <w:p w14:paraId="06C3FEF2" w14:textId="77777777" w:rsidR="008736CD" w:rsidRPr="003410CC" w:rsidRDefault="008736CD" w:rsidP="008736CD">
      <w:pPr>
        <w:pStyle w:val="FSCDraftingitem"/>
        <w:rPr>
          <w:b/>
        </w:rPr>
      </w:pPr>
      <w:r>
        <w:rPr>
          <w:b/>
        </w:rPr>
        <w:t>[</w:t>
      </w:r>
      <w:r w:rsidRPr="003410CC">
        <w:rPr>
          <w:b/>
        </w:rPr>
        <w:t>2</w:t>
      </w:r>
      <w:r>
        <w:rPr>
          <w:b/>
        </w:rPr>
        <w:t>]</w:t>
      </w:r>
      <w:r w:rsidRPr="003410CC">
        <w:rPr>
          <w:b/>
        </w:rPr>
        <w:tab/>
        <w:t>Subsection 2.7.1—12(1)</w:t>
      </w:r>
    </w:p>
    <w:p w14:paraId="28184BDA" w14:textId="77777777" w:rsidR="008736CD" w:rsidRPr="00410C1A" w:rsidRDefault="008736CD" w:rsidP="008736CD">
      <w:pPr>
        <w:pStyle w:val="FSCDraftingitem"/>
      </w:pPr>
      <w:r>
        <w:tab/>
        <w:t>Omit “A”, substitute “Subject to subsection (10), a”.</w:t>
      </w:r>
      <w:r w:rsidRPr="00BA7AF9">
        <w:tab/>
      </w:r>
    </w:p>
    <w:p w14:paraId="4722BE0A" w14:textId="77777777" w:rsidR="008736CD" w:rsidRPr="003410CC" w:rsidRDefault="008736CD" w:rsidP="008736CD">
      <w:pPr>
        <w:pStyle w:val="FSCDraftingitem"/>
        <w:rPr>
          <w:b/>
        </w:rPr>
      </w:pPr>
      <w:r>
        <w:rPr>
          <w:b/>
        </w:rPr>
        <w:t>[</w:t>
      </w:r>
      <w:r w:rsidRPr="003410CC">
        <w:rPr>
          <w:b/>
        </w:rPr>
        <w:t>3</w:t>
      </w:r>
      <w:r>
        <w:rPr>
          <w:b/>
        </w:rPr>
        <w:t>]</w:t>
      </w:r>
      <w:r w:rsidRPr="003410CC">
        <w:rPr>
          <w:b/>
        </w:rPr>
        <w:tab/>
        <w:t>After subsection 2.7.1—12(9)</w:t>
      </w:r>
    </w:p>
    <w:p w14:paraId="1AE1694A" w14:textId="77777777" w:rsidR="008736CD" w:rsidRPr="00BA7AF9" w:rsidRDefault="008736CD" w:rsidP="008736CD">
      <w:pPr>
        <w:pStyle w:val="FSCDraftingitem"/>
      </w:pPr>
      <w:r>
        <w:tab/>
        <w:t>Insert</w:t>
      </w:r>
      <w:r w:rsidRPr="00BA7AF9">
        <w:tab/>
      </w:r>
    </w:p>
    <w:p w14:paraId="549105B0" w14:textId="77777777" w:rsidR="008736CD" w:rsidRDefault="008736CD" w:rsidP="008736CD">
      <w:pPr>
        <w:pStyle w:val="FSCtMain"/>
      </w:pPr>
      <w:r>
        <w:lastRenderedPageBreak/>
        <w:tab/>
        <w:t>(10)</w:t>
      </w:r>
      <w:r>
        <w:tab/>
        <w:t>This section does not apply to a</w:t>
      </w:r>
      <w:r w:rsidRPr="00012DB3">
        <w:rPr>
          <w:szCs w:val="20"/>
        </w:rPr>
        <w:t xml:space="preserve"> </w:t>
      </w:r>
      <w:r>
        <w:rPr>
          <w:szCs w:val="20"/>
        </w:rPr>
        <w:t>*</w:t>
      </w:r>
      <w:r w:rsidRPr="00012DB3">
        <w:t xml:space="preserve">pregnancy warning </w:t>
      </w:r>
      <w:r>
        <w:t>mark to which section 2.7.1—13 applies.</w:t>
      </w:r>
    </w:p>
    <w:p w14:paraId="5A94078E" w14:textId="77777777" w:rsidR="008736CD" w:rsidRPr="00602AF7" w:rsidRDefault="008736CD" w:rsidP="008736CD">
      <w:pPr>
        <w:pStyle w:val="FSCDraftingitem"/>
      </w:pPr>
      <w:r>
        <w:rPr>
          <w:b/>
        </w:rPr>
        <w:t>[</w:t>
      </w:r>
      <w:r w:rsidRPr="003410CC">
        <w:rPr>
          <w:b/>
        </w:rPr>
        <w:t>4</w:t>
      </w:r>
      <w:r>
        <w:rPr>
          <w:b/>
        </w:rPr>
        <w:t>]</w:t>
      </w:r>
      <w:r w:rsidRPr="003410CC">
        <w:rPr>
          <w:b/>
        </w:rPr>
        <w:tab/>
      </w:r>
      <w:r>
        <w:rPr>
          <w:b/>
        </w:rPr>
        <w:t>Insert:</w:t>
      </w:r>
    </w:p>
    <w:p w14:paraId="7BF2AB86" w14:textId="77777777" w:rsidR="008736CD" w:rsidRPr="00945158" w:rsidRDefault="008736CD" w:rsidP="008736CD">
      <w:pPr>
        <w:pStyle w:val="FSCh5Section"/>
      </w:pPr>
      <w:r>
        <w:t>2.7.1—13</w:t>
      </w:r>
      <w:r>
        <w:rPr>
          <w:szCs w:val="22"/>
        </w:rPr>
        <w:tab/>
      </w:r>
      <w:r>
        <w:t xml:space="preserve">Optional </w:t>
      </w:r>
      <w:r w:rsidRPr="007242F0">
        <w:t xml:space="preserve">pregnancy warning </w:t>
      </w:r>
      <w:r>
        <w:t>mark for corrugated cardboard</w:t>
      </w:r>
      <w:r w:rsidRPr="00EA49BE">
        <w:rPr>
          <w:szCs w:val="22"/>
        </w:rPr>
        <w:t xml:space="preserve"> outer packag</w:t>
      </w:r>
      <w:r>
        <w:rPr>
          <w:szCs w:val="22"/>
        </w:rPr>
        <w:t xml:space="preserve">ing </w:t>
      </w:r>
    </w:p>
    <w:p w14:paraId="27AB24D3" w14:textId="77777777" w:rsidR="008736CD" w:rsidRPr="00012DB3" w:rsidRDefault="008736CD" w:rsidP="008736CD">
      <w:pPr>
        <w:pStyle w:val="FSCtMain"/>
        <w:rPr>
          <w:szCs w:val="20"/>
        </w:rPr>
      </w:pPr>
      <w:r>
        <w:rPr>
          <w:szCs w:val="20"/>
        </w:rPr>
        <w:tab/>
        <w:t xml:space="preserve">(1) </w:t>
      </w:r>
      <w:r>
        <w:rPr>
          <w:szCs w:val="20"/>
        </w:rPr>
        <w:tab/>
        <w:t>This section applies to a</w:t>
      </w:r>
      <w:r w:rsidRPr="00012DB3">
        <w:rPr>
          <w:szCs w:val="20"/>
        </w:rPr>
        <w:t xml:space="preserve"> </w:t>
      </w:r>
      <w:r>
        <w:rPr>
          <w:szCs w:val="20"/>
        </w:rPr>
        <w:t>*</w:t>
      </w:r>
      <w:r w:rsidRPr="00012DB3">
        <w:t xml:space="preserve">pregnancy warning </w:t>
      </w:r>
      <w:r>
        <w:t xml:space="preserve">mark </w:t>
      </w:r>
      <w:r w:rsidRPr="00012DB3">
        <w:rPr>
          <w:szCs w:val="20"/>
        </w:rPr>
        <w:t xml:space="preserve">that: </w:t>
      </w:r>
    </w:p>
    <w:p w14:paraId="6BB070EA" w14:textId="77777777" w:rsidR="008736CD" w:rsidRDefault="008736CD" w:rsidP="00FA3085">
      <w:pPr>
        <w:pStyle w:val="FSCtMain"/>
        <w:numPr>
          <w:ilvl w:val="0"/>
          <w:numId w:val="19"/>
        </w:numPr>
        <w:tabs>
          <w:tab w:val="clear" w:pos="1134"/>
          <w:tab w:val="left" w:pos="1701"/>
        </w:tabs>
        <w:spacing w:before="60" w:after="60"/>
        <w:ind w:left="2268" w:hanging="2268"/>
        <w:rPr>
          <w:szCs w:val="20"/>
        </w:rPr>
      </w:pPr>
      <w:r>
        <w:rPr>
          <w:szCs w:val="20"/>
        </w:rPr>
        <w:t xml:space="preserve">(a) </w:t>
      </w:r>
      <w:r>
        <w:rPr>
          <w:szCs w:val="20"/>
        </w:rPr>
        <w:tab/>
        <w:t>is required by</w:t>
      </w:r>
      <w:r w:rsidRPr="00012DB3">
        <w:rPr>
          <w:szCs w:val="20"/>
        </w:rPr>
        <w:t xml:space="preserve"> </w:t>
      </w:r>
      <w:r>
        <w:rPr>
          <w:szCs w:val="20"/>
        </w:rPr>
        <w:t xml:space="preserve">subsection </w:t>
      </w:r>
      <w:r>
        <w:t xml:space="preserve">2.7.1—10(1) </w:t>
      </w:r>
      <w:r>
        <w:rPr>
          <w:szCs w:val="20"/>
        </w:rPr>
        <w:t>to be displayed on the outer package of a *</w:t>
      </w:r>
      <w:r w:rsidRPr="00012DB3">
        <w:rPr>
          <w:szCs w:val="20"/>
        </w:rPr>
        <w:t>prescribed alcoholic beverag</w:t>
      </w:r>
      <w:r>
        <w:rPr>
          <w:szCs w:val="20"/>
        </w:rPr>
        <w:t>e</w:t>
      </w:r>
      <w:r>
        <w:t>; and</w:t>
      </w:r>
    </w:p>
    <w:p w14:paraId="6AE8BF09" w14:textId="77777777" w:rsidR="008736CD" w:rsidRDefault="008736CD" w:rsidP="00FA3085">
      <w:pPr>
        <w:pStyle w:val="FSCtMain"/>
        <w:numPr>
          <w:ilvl w:val="0"/>
          <w:numId w:val="19"/>
        </w:numPr>
        <w:tabs>
          <w:tab w:val="clear" w:pos="1134"/>
          <w:tab w:val="left" w:pos="1701"/>
        </w:tabs>
        <w:spacing w:before="60" w:after="60"/>
        <w:ind w:left="2268" w:hanging="2268"/>
        <w:rPr>
          <w:szCs w:val="20"/>
        </w:rPr>
      </w:pPr>
      <w:r>
        <w:rPr>
          <w:szCs w:val="20"/>
        </w:rPr>
        <w:t>(b)</w:t>
      </w:r>
      <w:r>
        <w:rPr>
          <w:szCs w:val="20"/>
        </w:rPr>
        <w:tab/>
        <w:t>is displayed on a</w:t>
      </w:r>
      <w:r>
        <w:t xml:space="preserve"> *</w:t>
      </w:r>
      <w:r w:rsidRPr="00012DB3">
        <w:rPr>
          <w:szCs w:val="20"/>
        </w:rPr>
        <w:t>prescribed alcoholic beverag</w:t>
      </w:r>
      <w:r>
        <w:rPr>
          <w:szCs w:val="20"/>
        </w:rPr>
        <w:t>e to which subsection (2) applies; and</w:t>
      </w:r>
    </w:p>
    <w:p w14:paraId="7DF5AA30" w14:textId="77777777" w:rsidR="008736CD" w:rsidRPr="00091E88" w:rsidRDefault="008736CD" w:rsidP="00FA3085">
      <w:pPr>
        <w:pStyle w:val="FSCtMain"/>
        <w:numPr>
          <w:ilvl w:val="0"/>
          <w:numId w:val="19"/>
        </w:numPr>
        <w:tabs>
          <w:tab w:val="clear" w:pos="1134"/>
          <w:tab w:val="left" w:pos="1701"/>
        </w:tabs>
        <w:spacing w:before="60" w:after="60"/>
        <w:ind w:left="2268" w:hanging="2268"/>
        <w:rPr>
          <w:szCs w:val="20"/>
        </w:rPr>
      </w:pPr>
      <w:r>
        <w:rPr>
          <w:szCs w:val="20"/>
        </w:rPr>
        <w:t>(c)</w:t>
      </w:r>
      <w:r>
        <w:rPr>
          <w:szCs w:val="20"/>
        </w:rPr>
        <w:tab/>
      </w:r>
      <w:r>
        <w:t xml:space="preserve">has been </w:t>
      </w:r>
      <w:r w:rsidRPr="004B7257">
        <w:rPr>
          <w:rFonts w:eastAsiaTheme="minorHAnsi"/>
          <w:szCs w:val="20"/>
          <w:lang w:eastAsia="en-US"/>
        </w:rPr>
        <w:t xml:space="preserve">printed on the outer package </w:t>
      </w:r>
      <w:r>
        <w:rPr>
          <w:rFonts w:eastAsiaTheme="minorHAnsi"/>
          <w:szCs w:val="20"/>
          <w:lang w:eastAsia="en-US"/>
        </w:rPr>
        <w:t>of the *</w:t>
      </w:r>
      <w:r w:rsidRPr="00012DB3">
        <w:rPr>
          <w:szCs w:val="20"/>
        </w:rPr>
        <w:t>prescribed alcoholic beverag</w:t>
      </w:r>
      <w:r>
        <w:rPr>
          <w:szCs w:val="20"/>
        </w:rPr>
        <w:t>e</w:t>
      </w:r>
      <w:r w:rsidRPr="004B7257">
        <w:rPr>
          <w:szCs w:val="20"/>
        </w:rPr>
        <w:t xml:space="preserve"> using a post-print </w:t>
      </w:r>
      <w:r>
        <w:rPr>
          <w:szCs w:val="20"/>
        </w:rPr>
        <w:t>(</w:t>
      </w:r>
      <w:r w:rsidRPr="004B7257">
        <w:rPr>
          <w:szCs w:val="20"/>
        </w:rPr>
        <w:t>flexographic</w:t>
      </w:r>
      <w:r>
        <w:rPr>
          <w:szCs w:val="20"/>
        </w:rPr>
        <w:t>)</w:t>
      </w:r>
      <w:r w:rsidRPr="004B7257">
        <w:rPr>
          <w:szCs w:val="20"/>
        </w:rPr>
        <w:t xml:space="preserve"> </w:t>
      </w:r>
      <w:r w:rsidRPr="004B7257">
        <w:rPr>
          <w:rFonts w:eastAsiaTheme="minorHAnsi"/>
          <w:szCs w:val="20"/>
          <w:lang w:eastAsia="en-US"/>
        </w:rPr>
        <w:t>printing proces</w:t>
      </w:r>
      <w:r>
        <w:rPr>
          <w:rFonts w:eastAsiaTheme="minorHAnsi"/>
          <w:szCs w:val="20"/>
          <w:lang w:eastAsia="en-US"/>
        </w:rPr>
        <w:t>s; and</w:t>
      </w:r>
    </w:p>
    <w:p w14:paraId="548EDF42" w14:textId="77777777" w:rsidR="008736CD" w:rsidRPr="00230252" w:rsidRDefault="008736CD" w:rsidP="00FA3085">
      <w:pPr>
        <w:pStyle w:val="FSCtMain"/>
        <w:numPr>
          <w:ilvl w:val="0"/>
          <w:numId w:val="19"/>
        </w:numPr>
        <w:tabs>
          <w:tab w:val="clear" w:pos="1134"/>
          <w:tab w:val="left" w:pos="1701"/>
        </w:tabs>
        <w:spacing w:before="60" w:after="60"/>
        <w:ind w:left="2268" w:hanging="2268"/>
        <w:rPr>
          <w:szCs w:val="20"/>
        </w:rPr>
      </w:pPr>
      <w:r>
        <w:rPr>
          <w:rFonts w:eastAsiaTheme="minorHAnsi"/>
          <w:szCs w:val="20"/>
          <w:lang w:eastAsia="en-US"/>
        </w:rPr>
        <w:t>(d)</w:t>
      </w:r>
      <w:r>
        <w:rPr>
          <w:rFonts w:eastAsiaTheme="minorHAnsi"/>
          <w:szCs w:val="20"/>
          <w:lang w:eastAsia="en-US"/>
        </w:rPr>
        <w:tab/>
        <w:t>complies with this section.</w:t>
      </w:r>
    </w:p>
    <w:p w14:paraId="0817CF81" w14:textId="77777777" w:rsidR="008736CD" w:rsidRPr="00B75BF7" w:rsidRDefault="008736CD" w:rsidP="008736CD">
      <w:pPr>
        <w:pStyle w:val="FSCtMain"/>
        <w:ind w:left="0" w:firstLine="0"/>
      </w:pPr>
      <w:r>
        <w:tab/>
        <w:t>(2)</w:t>
      </w:r>
      <w:r>
        <w:tab/>
        <w:t>This subsection applies to a *</w:t>
      </w:r>
      <w:r w:rsidRPr="00012DB3">
        <w:rPr>
          <w:szCs w:val="20"/>
        </w:rPr>
        <w:t>prescribed alcoholic beverag</w:t>
      </w:r>
      <w:r>
        <w:rPr>
          <w:szCs w:val="20"/>
        </w:rPr>
        <w:t>e that has:</w:t>
      </w:r>
    </w:p>
    <w:p w14:paraId="14804A41" w14:textId="77777777" w:rsidR="008736CD" w:rsidRDefault="008736CD" w:rsidP="00FA3085">
      <w:pPr>
        <w:pStyle w:val="FSCtMain"/>
        <w:numPr>
          <w:ilvl w:val="0"/>
          <w:numId w:val="19"/>
        </w:numPr>
        <w:tabs>
          <w:tab w:val="clear" w:pos="1134"/>
          <w:tab w:val="left" w:pos="1701"/>
        </w:tabs>
        <w:spacing w:before="60" w:after="60"/>
        <w:ind w:left="2268" w:hanging="2268"/>
        <w:rPr>
          <w:szCs w:val="20"/>
        </w:rPr>
      </w:pPr>
      <w:r>
        <w:rPr>
          <w:szCs w:val="20"/>
        </w:rPr>
        <w:t>(a)</w:t>
      </w:r>
      <w:r>
        <w:rPr>
          <w:szCs w:val="20"/>
        </w:rPr>
        <w:tab/>
      </w:r>
      <w:r w:rsidRPr="004B7257">
        <w:rPr>
          <w:szCs w:val="20"/>
        </w:rPr>
        <w:t xml:space="preserve">packaging </w:t>
      </w:r>
      <w:r w:rsidRPr="00C73154">
        <w:t xml:space="preserve">that </w:t>
      </w:r>
      <w:r w:rsidRPr="004B7257">
        <w:rPr>
          <w:szCs w:val="20"/>
        </w:rPr>
        <w:t>includes more than one</w:t>
      </w:r>
      <w:r w:rsidRPr="004B7257">
        <w:rPr>
          <w:szCs w:val="20"/>
          <w:lang w:bidi="en-US"/>
        </w:rPr>
        <w:t xml:space="preserve"> *individual unit</w:t>
      </w:r>
      <w:r w:rsidRPr="004B7257">
        <w:rPr>
          <w:szCs w:val="20"/>
        </w:rPr>
        <w:t>; and</w:t>
      </w:r>
    </w:p>
    <w:p w14:paraId="18AD508B" w14:textId="77777777" w:rsidR="008736CD" w:rsidRPr="001046A0" w:rsidRDefault="008736CD" w:rsidP="00FA3085">
      <w:pPr>
        <w:pStyle w:val="FSCtMain"/>
        <w:numPr>
          <w:ilvl w:val="0"/>
          <w:numId w:val="19"/>
        </w:numPr>
        <w:tabs>
          <w:tab w:val="clear" w:pos="1134"/>
          <w:tab w:val="left" w:pos="1701"/>
        </w:tabs>
        <w:spacing w:before="60" w:after="60"/>
        <w:ind w:left="2268" w:hanging="2268"/>
        <w:rPr>
          <w:szCs w:val="20"/>
        </w:rPr>
      </w:pPr>
      <w:r>
        <w:rPr>
          <w:szCs w:val="20"/>
        </w:rPr>
        <w:t>(b)</w:t>
      </w:r>
      <w:r>
        <w:rPr>
          <w:szCs w:val="20"/>
        </w:rPr>
        <w:tab/>
      </w:r>
      <w:r>
        <w:t xml:space="preserve">an outer package that: </w:t>
      </w:r>
    </w:p>
    <w:p w14:paraId="4BF7AF6D" w14:textId="77777777" w:rsidR="008736CD" w:rsidRDefault="008736CD" w:rsidP="00FA3085">
      <w:pPr>
        <w:pStyle w:val="FSCtMain"/>
        <w:numPr>
          <w:ilvl w:val="0"/>
          <w:numId w:val="19"/>
        </w:numPr>
        <w:tabs>
          <w:tab w:val="clear" w:pos="1134"/>
          <w:tab w:val="left" w:pos="2268"/>
          <w:tab w:val="left" w:pos="5529"/>
        </w:tabs>
        <w:spacing w:before="60" w:after="60"/>
        <w:ind w:left="2835" w:hanging="2835"/>
      </w:pPr>
      <w:r>
        <w:t>(</w:t>
      </w:r>
      <w:proofErr w:type="spellStart"/>
      <w:r>
        <w:t>i</w:t>
      </w:r>
      <w:proofErr w:type="spellEnd"/>
      <w:r>
        <w:t>)</w:t>
      </w:r>
      <w:r>
        <w:tab/>
        <w:t>is made of corrugated cardboard; and</w:t>
      </w:r>
    </w:p>
    <w:p w14:paraId="7811B4A6" w14:textId="77777777" w:rsidR="008736CD" w:rsidRPr="004B3578" w:rsidRDefault="008736CD" w:rsidP="00FA3085">
      <w:pPr>
        <w:pStyle w:val="FSCtMain"/>
        <w:numPr>
          <w:ilvl w:val="0"/>
          <w:numId w:val="19"/>
        </w:numPr>
        <w:tabs>
          <w:tab w:val="clear" w:pos="1134"/>
          <w:tab w:val="left" w:pos="2268"/>
          <w:tab w:val="left" w:pos="5529"/>
        </w:tabs>
        <w:spacing w:before="60" w:after="60"/>
        <w:ind w:left="2835" w:hanging="2835"/>
      </w:pPr>
      <w:r>
        <w:t>(ii)</w:t>
      </w:r>
      <w:r>
        <w:tab/>
        <w:t xml:space="preserve">has an </w:t>
      </w:r>
      <w:r w:rsidRPr="000116F1">
        <w:t>outside liner made of</w:t>
      </w:r>
      <w:r w:rsidRPr="69360AD6">
        <w:rPr>
          <w:rStyle w:val="normaltextrun"/>
          <w:color w:val="000000" w:themeColor="text1"/>
        </w:rPr>
        <w:t xml:space="preserve"> </w:t>
      </w:r>
      <w:r w:rsidRPr="000116F1">
        <w:t>kraft, recycled or white pape</w:t>
      </w:r>
      <w:r>
        <w:t>r.</w:t>
      </w:r>
    </w:p>
    <w:p w14:paraId="5A4C2C27" w14:textId="77777777" w:rsidR="008736CD" w:rsidRPr="004E35D9" w:rsidRDefault="008736CD" w:rsidP="008736CD">
      <w:pPr>
        <w:pStyle w:val="FSCtMain"/>
        <w:ind w:hanging="1843"/>
      </w:pPr>
      <w:r w:rsidRPr="004E35D9">
        <w:tab/>
        <w:t>(3)</w:t>
      </w:r>
      <w:r w:rsidRPr="004E35D9">
        <w:tab/>
        <w:t xml:space="preserve">The *pregnancy warning pictogram must be at least 14mm in diameter. </w:t>
      </w:r>
    </w:p>
    <w:p w14:paraId="3746CB14" w14:textId="77777777" w:rsidR="008736CD" w:rsidRPr="004E35D9" w:rsidRDefault="008736CD" w:rsidP="008736CD">
      <w:pPr>
        <w:pStyle w:val="FSCtMain"/>
      </w:pPr>
      <w:r w:rsidRPr="004E35D9">
        <w:tab/>
        <w:t>(4)</w:t>
      </w:r>
      <w:r w:rsidRPr="004E35D9">
        <w:tab/>
        <w:t>The *size of type of the signal words</w:t>
      </w:r>
      <w:r w:rsidRPr="004E35D9">
        <w:rPr>
          <w:rFonts w:eastAsiaTheme="minorHAnsi"/>
          <w:szCs w:val="20"/>
          <w:lang w:eastAsia="en-US"/>
        </w:rPr>
        <w:t xml:space="preserve"> of the </w:t>
      </w:r>
      <w:r w:rsidRPr="004E35D9">
        <w:rPr>
          <w:szCs w:val="20"/>
        </w:rPr>
        <w:t>*</w:t>
      </w:r>
      <w:r w:rsidRPr="004E35D9">
        <w:t xml:space="preserve">pregnancy warning mark </w:t>
      </w:r>
      <w:r w:rsidRPr="004E35D9">
        <w:rPr>
          <w:rFonts w:eastAsiaTheme="minorHAnsi"/>
          <w:szCs w:val="20"/>
          <w:lang w:eastAsia="en-US"/>
        </w:rPr>
        <w:t>must be</w:t>
      </w:r>
      <w:r w:rsidRPr="004E35D9">
        <w:t xml:space="preserve"> at least 4.4 mm.</w:t>
      </w:r>
    </w:p>
    <w:p w14:paraId="31E9A239" w14:textId="77777777" w:rsidR="008736CD" w:rsidRPr="004E35D9" w:rsidRDefault="008736CD" w:rsidP="008736CD">
      <w:pPr>
        <w:pStyle w:val="FSCtMain"/>
      </w:pPr>
      <w:r w:rsidRPr="004E35D9">
        <w:tab/>
        <w:t>(5)</w:t>
      </w:r>
      <w:r w:rsidRPr="004E35D9">
        <w:tab/>
        <w:t>The *size of type of the statement</w:t>
      </w:r>
      <w:r w:rsidRPr="004E35D9">
        <w:rPr>
          <w:rFonts w:eastAsiaTheme="minorHAnsi"/>
          <w:szCs w:val="20"/>
          <w:lang w:eastAsia="en-US"/>
        </w:rPr>
        <w:t xml:space="preserve"> of the </w:t>
      </w:r>
      <w:r w:rsidRPr="004E35D9">
        <w:rPr>
          <w:szCs w:val="20"/>
        </w:rPr>
        <w:t>*</w:t>
      </w:r>
      <w:r w:rsidRPr="004E35D9">
        <w:t xml:space="preserve">pregnancy warning mark </w:t>
      </w:r>
      <w:r w:rsidRPr="004E35D9">
        <w:rPr>
          <w:rFonts w:eastAsiaTheme="minorHAnsi"/>
          <w:szCs w:val="20"/>
          <w:lang w:eastAsia="en-US"/>
        </w:rPr>
        <w:t>must be</w:t>
      </w:r>
      <w:r w:rsidRPr="004E35D9">
        <w:t xml:space="preserve"> at least 3.4 mm.</w:t>
      </w:r>
    </w:p>
    <w:p w14:paraId="6B012405" w14:textId="77777777" w:rsidR="008736CD" w:rsidRDefault="008736CD" w:rsidP="008736CD">
      <w:pPr>
        <w:pStyle w:val="FSCtMain"/>
        <w:tabs>
          <w:tab w:val="left" w:pos="6237"/>
        </w:tabs>
      </w:pPr>
      <w:r w:rsidRPr="004E35D9">
        <w:tab/>
        <w:t>(6)</w:t>
      </w:r>
      <w:r w:rsidRPr="004E35D9">
        <w:tab/>
        <w:t xml:space="preserve">The background of the *pregnancy warning mark must be </w:t>
      </w:r>
      <w:r>
        <w:t>in the same colour as  the outside liner.</w:t>
      </w:r>
    </w:p>
    <w:p w14:paraId="25CFC051" w14:textId="77777777" w:rsidR="008736CD" w:rsidRPr="00F95525" w:rsidRDefault="008736CD" w:rsidP="008736CD">
      <w:pPr>
        <w:pStyle w:val="FSCtMain"/>
        <w:tabs>
          <w:tab w:val="clear" w:pos="1134"/>
          <w:tab w:val="left" w:pos="1701"/>
          <w:tab w:val="left" w:pos="6237"/>
        </w:tabs>
        <w:ind w:left="2268" w:hanging="2268"/>
        <w:rPr>
          <w:sz w:val="16"/>
          <w:szCs w:val="16"/>
        </w:rPr>
      </w:pPr>
      <w:r w:rsidRPr="3F2CA447">
        <w:rPr>
          <w:b/>
          <w:bCs/>
          <w:i/>
          <w:sz w:val="16"/>
          <w:szCs w:val="16"/>
        </w:rPr>
        <w:t>Note</w:t>
      </w:r>
      <w:r w:rsidRPr="000F196A">
        <w:rPr>
          <w:sz w:val="16"/>
          <w:szCs w:val="16"/>
        </w:rPr>
        <w:tab/>
        <w:t>Sub</w:t>
      </w:r>
      <w:r>
        <w:rPr>
          <w:sz w:val="16"/>
          <w:szCs w:val="16"/>
        </w:rPr>
        <w:t>paragraph</w:t>
      </w:r>
      <w:r w:rsidRPr="000F196A">
        <w:rPr>
          <w:sz w:val="16"/>
          <w:szCs w:val="16"/>
        </w:rPr>
        <w:t xml:space="preserve"> 2.7.1—13(2)(b)(ii) requires the out</w:t>
      </w:r>
      <w:r>
        <w:rPr>
          <w:sz w:val="16"/>
          <w:szCs w:val="16"/>
        </w:rPr>
        <w:t>side</w:t>
      </w:r>
      <w:r w:rsidRPr="000F196A">
        <w:rPr>
          <w:sz w:val="16"/>
          <w:szCs w:val="16"/>
        </w:rPr>
        <w:t xml:space="preserve"> liner to be made of</w:t>
      </w:r>
      <w:r w:rsidRPr="000F196A">
        <w:rPr>
          <w:rStyle w:val="normaltextrun"/>
          <w:color w:val="000000" w:themeColor="text1"/>
          <w:sz w:val="16"/>
          <w:szCs w:val="16"/>
        </w:rPr>
        <w:t xml:space="preserve"> </w:t>
      </w:r>
      <w:r w:rsidRPr="000F196A">
        <w:rPr>
          <w:sz w:val="16"/>
          <w:szCs w:val="16"/>
        </w:rPr>
        <w:t xml:space="preserve">kraft, recycled or white paper, the colours of which are brown, </w:t>
      </w:r>
      <w:r>
        <w:rPr>
          <w:sz w:val="16"/>
          <w:szCs w:val="16"/>
        </w:rPr>
        <w:t>grey or</w:t>
      </w:r>
      <w:r w:rsidRPr="00F95525">
        <w:rPr>
          <w:sz w:val="16"/>
          <w:szCs w:val="16"/>
        </w:rPr>
        <w:t xml:space="preserve"> </w:t>
      </w:r>
      <w:r>
        <w:rPr>
          <w:sz w:val="16"/>
          <w:szCs w:val="16"/>
        </w:rPr>
        <w:t>white</w:t>
      </w:r>
      <w:r w:rsidRPr="00F95525">
        <w:rPr>
          <w:sz w:val="16"/>
          <w:szCs w:val="16"/>
        </w:rPr>
        <w:t xml:space="preserve">. </w:t>
      </w:r>
    </w:p>
    <w:p w14:paraId="2E119781" w14:textId="77777777" w:rsidR="008736CD" w:rsidRPr="00BB00DE" w:rsidRDefault="008736CD" w:rsidP="008736CD">
      <w:pPr>
        <w:pStyle w:val="FSCtMain"/>
        <w:rPr>
          <w:b/>
          <w:szCs w:val="20"/>
        </w:rPr>
      </w:pPr>
      <w:r w:rsidRPr="00192F66">
        <w:tab/>
        <w:t>(</w:t>
      </w:r>
      <w:r>
        <w:t>7</w:t>
      </w:r>
      <w:r w:rsidRPr="00192F66">
        <w:t>)</w:t>
      </w:r>
      <w:r w:rsidRPr="00192F66">
        <w:tab/>
        <w:t>The circle and strikethrough of the *pregnancy warning pictogram must b</w:t>
      </w:r>
      <w:r>
        <w:t xml:space="preserve">e </w:t>
      </w:r>
      <w:r w:rsidRPr="00192F66">
        <w:t xml:space="preserve">in </w:t>
      </w:r>
      <w:r w:rsidRPr="00B75BF7">
        <w:t>the</w:t>
      </w:r>
      <w:r w:rsidRPr="00192F66">
        <w:t xml:space="preserve"> colour black</w:t>
      </w:r>
      <w:r>
        <w:t>.</w:t>
      </w:r>
    </w:p>
    <w:p w14:paraId="73EDEC8D" w14:textId="77777777" w:rsidR="008736CD" w:rsidRDefault="008736CD" w:rsidP="008736CD">
      <w:pPr>
        <w:pStyle w:val="FSCtMain"/>
      </w:pPr>
      <w:r>
        <w:tab/>
        <w:t>(8)</w:t>
      </w:r>
      <w:r>
        <w:tab/>
      </w:r>
      <w:r w:rsidRPr="004C5687">
        <w:t>The silhouette of a pregnant woman on</w:t>
      </w:r>
      <w:r>
        <w:t xml:space="preserve"> the</w:t>
      </w:r>
      <w:r w:rsidRPr="00604EC5">
        <w:t xml:space="preserve"> *pregnancy warning pictogram</w:t>
      </w:r>
      <w:r>
        <w:t xml:space="preserve"> must be </w:t>
      </w:r>
      <w:r w:rsidRPr="004B7257">
        <w:t>in the colour black</w:t>
      </w:r>
      <w:r>
        <w:t>.</w:t>
      </w:r>
    </w:p>
    <w:p w14:paraId="0998E260" w14:textId="77777777" w:rsidR="008736CD" w:rsidRPr="00BB00DE" w:rsidRDefault="008736CD" w:rsidP="008736CD">
      <w:pPr>
        <w:pStyle w:val="FSCtMain"/>
        <w:rPr>
          <w:b/>
          <w:szCs w:val="20"/>
        </w:rPr>
      </w:pPr>
      <w:r>
        <w:tab/>
        <w:t>(9)</w:t>
      </w:r>
      <w:r>
        <w:tab/>
        <w:t xml:space="preserve">The </w:t>
      </w:r>
      <w:r w:rsidRPr="00192F66">
        <w:t>strikethrough of the *pregnancy warning pictogram</w:t>
      </w:r>
      <w:r>
        <w:t xml:space="preserve"> must be displayed with </w:t>
      </w:r>
      <w:r>
        <w:rPr>
          <w:rStyle w:val="normaltextrun"/>
          <w:color w:val="000000"/>
        </w:rPr>
        <w:t xml:space="preserve">a clear space on either side of the strikethrough so both the strikethrough and </w:t>
      </w:r>
      <w:r w:rsidRPr="004C5687">
        <w:t>silhouette of a pregnant woman on</w:t>
      </w:r>
      <w:r>
        <w:t xml:space="preserve"> the</w:t>
      </w:r>
      <w:r w:rsidRPr="00604EC5">
        <w:t xml:space="preserve"> *pregnancy warning pictogram</w:t>
      </w:r>
      <w:r>
        <w:t xml:space="preserve"> </w:t>
      </w:r>
      <w:r>
        <w:rPr>
          <w:rStyle w:val="normaltextrun"/>
          <w:color w:val="000000"/>
        </w:rPr>
        <w:t>are clearly legible</w:t>
      </w:r>
      <w:r>
        <w:t>.</w:t>
      </w:r>
    </w:p>
    <w:p w14:paraId="493127CF" w14:textId="77777777" w:rsidR="008736CD" w:rsidRPr="000176AF" w:rsidRDefault="008736CD" w:rsidP="008736CD">
      <w:pPr>
        <w:pStyle w:val="FSCtMain"/>
        <w:rPr>
          <w:b/>
        </w:rPr>
      </w:pPr>
      <w:r>
        <w:tab/>
        <w:t>(10)</w:t>
      </w:r>
      <w:r>
        <w:tab/>
      </w:r>
      <w:r w:rsidRPr="002A0EE5">
        <w:t xml:space="preserve">The signal words </w:t>
      </w:r>
      <w:r>
        <w:rPr>
          <w:rFonts w:eastAsiaTheme="minorHAnsi"/>
          <w:szCs w:val="20"/>
          <w:lang w:eastAsia="en-US"/>
        </w:rPr>
        <w:t xml:space="preserve">of the </w:t>
      </w:r>
      <w:r>
        <w:rPr>
          <w:szCs w:val="20"/>
        </w:rPr>
        <w:t>*</w:t>
      </w:r>
      <w:r w:rsidRPr="00012DB3">
        <w:t xml:space="preserve">pregnancy warning </w:t>
      </w:r>
      <w:r>
        <w:t>mark must be:</w:t>
      </w:r>
    </w:p>
    <w:p w14:paraId="7DD10D1B" w14:textId="77777777" w:rsidR="008736CD" w:rsidRPr="000176AF" w:rsidRDefault="008736CD" w:rsidP="008736CD">
      <w:pPr>
        <w:pStyle w:val="FSCtPara"/>
        <w:ind w:hanging="567"/>
        <w:rPr>
          <w:b/>
        </w:rPr>
      </w:pPr>
      <w:r>
        <w:t>(a)</w:t>
      </w:r>
      <w:r>
        <w:tab/>
      </w:r>
      <w:r w:rsidRPr="002A0EE5">
        <w:t xml:space="preserve">in </w:t>
      </w:r>
      <w:r w:rsidRPr="000176AF">
        <w:t>the colour</w:t>
      </w:r>
      <w:r>
        <w:t xml:space="preserve"> black</w:t>
      </w:r>
      <w:r w:rsidRPr="000176AF">
        <w:t>; and</w:t>
      </w:r>
    </w:p>
    <w:p w14:paraId="57F0CE00" w14:textId="77777777" w:rsidR="008736CD" w:rsidRPr="00084E8E" w:rsidRDefault="008736CD" w:rsidP="008736CD">
      <w:pPr>
        <w:pStyle w:val="FSCtPara"/>
        <w:ind w:hanging="567"/>
        <w:rPr>
          <w:b/>
        </w:rPr>
      </w:pPr>
      <w:r>
        <w:t>(b)</w:t>
      </w:r>
      <w:r>
        <w:tab/>
      </w:r>
      <w:r w:rsidRPr="000176AF">
        <w:t>in bold</w:t>
      </w:r>
      <w:r>
        <w:t xml:space="preserve"> font; and</w:t>
      </w:r>
    </w:p>
    <w:p w14:paraId="4C1BC651" w14:textId="77777777" w:rsidR="008736CD" w:rsidRPr="008A52A6" w:rsidRDefault="008736CD" w:rsidP="008736CD">
      <w:pPr>
        <w:pStyle w:val="FSCtPara"/>
        <w:ind w:hanging="567"/>
        <w:rPr>
          <w:b/>
        </w:rPr>
      </w:pPr>
      <w:r>
        <w:t>(c)</w:t>
      </w:r>
      <w:r>
        <w:tab/>
        <w:t>in a sans-serif typeface; and</w:t>
      </w:r>
    </w:p>
    <w:p w14:paraId="6093F5FA" w14:textId="77777777" w:rsidR="008736CD" w:rsidRPr="00D0327A" w:rsidRDefault="008736CD" w:rsidP="008736CD">
      <w:pPr>
        <w:pStyle w:val="FSCtPara"/>
        <w:ind w:hanging="567"/>
        <w:rPr>
          <w:b/>
        </w:rPr>
      </w:pPr>
      <w:r>
        <w:t>(d)</w:t>
      </w:r>
      <w:r>
        <w:tab/>
        <w:t>in capital letters; and</w:t>
      </w:r>
    </w:p>
    <w:p w14:paraId="27506EE2" w14:textId="77777777" w:rsidR="008736CD" w:rsidRPr="00084E8E" w:rsidRDefault="008736CD" w:rsidP="008736CD">
      <w:pPr>
        <w:pStyle w:val="FSCtPara"/>
        <w:ind w:hanging="567"/>
        <w:rPr>
          <w:b/>
        </w:rPr>
      </w:pPr>
      <w:r>
        <w:t>(e)</w:t>
      </w:r>
      <w:r>
        <w:tab/>
        <w:t>in English.</w:t>
      </w:r>
    </w:p>
    <w:p w14:paraId="53BA9FA1" w14:textId="77777777" w:rsidR="008736CD" w:rsidRPr="000176AF" w:rsidRDefault="008736CD" w:rsidP="008736CD">
      <w:pPr>
        <w:pStyle w:val="FSCtMain"/>
        <w:rPr>
          <w:b/>
        </w:rPr>
      </w:pPr>
      <w:r>
        <w:tab/>
        <w:t>(11)</w:t>
      </w:r>
      <w:r>
        <w:tab/>
      </w:r>
      <w:r w:rsidRPr="002A0EE5">
        <w:t xml:space="preserve">The statement of </w:t>
      </w:r>
      <w:r>
        <w:t>the</w:t>
      </w:r>
      <w:r w:rsidRPr="00037493">
        <w:t xml:space="preserve"> *pregnancy warning </w:t>
      </w:r>
      <w:r>
        <w:t>mark</w:t>
      </w:r>
      <w:r w:rsidRPr="002A0EE5">
        <w:t xml:space="preserve"> must </w:t>
      </w:r>
      <w:r>
        <w:t>be:</w:t>
      </w:r>
    </w:p>
    <w:p w14:paraId="398AC0ED" w14:textId="77777777" w:rsidR="008736CD" w:rsidRPr="000176AF" w:rsidRDefault="008736CD" w:rsidP="008736CD">
      <w:pPr>
        <w:pStyle w:val="FSCtPara"/>
        <w:ind w:hanging="567"/>
        <w:rPr>
          <w:b/>
        </w:rPr>
      </w:pPr>
      <w:r>
        <w:t>(a)</w:t>
      </w:r>
      <w:r>
        <w:tab/>
      </w:r>
      <w:r w:rsidRPr="000176AF">
        <w:t xml:space="preserve">in the colour </w:t>
      </w:r>
      <w:r>
        <w:t>black</w:t>
      </w:r>
      <w:r w:rsidRPr="000176AF">
        <w:t>; and</w:t>
      </w:r>
    </w:p>
    <w:p w14:paraId="1B180AFB" w14:textId="77777777" w:rsidR="008736CD" w:rsidRPr="009D03AA" w:rsidRDefault="008736CD" w:rsidP="008736CD">
      <w:pPr>
        <w:pStyle w:val="FSCtPara"/>
        <w:ind w:hanging="567"/>
        <w:rPr>
          <w:b/>
        </w:rPr>
      </w:pPr>
      <w:r>
        <w:t>(b)</w:t>
      </w:r>
      <w:r>
        <w:tab/>
      </w:r>
      <w:r w:rsidRPr="009D03AA">
        <w:t>in a sans-serif typeface; and</w:t>
      </w:r>
    </w:p>
    <w:p w14:paraId="046A1295" w14:textId="77777777" w:rsidR="008736CD" w:rsidRPr="00D0327A" w:rsidRDefault="008736CD" w:rsidP="008736CD">
      <w:pPr>
        <w:pStyle w:val="FSCtPara"/>
        <w:ind w:hanging="567"/>
        <w:rPr>
          <w:b/>
        </w:rPr>
      </w:pPr>
      <w:r>
        <w:t>(c)</w:t>
      </w:r>
      <w:r>
        <w:tab/>
        <w:t>in sentence case; and</w:t>
      </w:r>
    </w:p>
    <w:p w14:paraId="745797F8" w14:textId="77777777" w:rsidR="008736CD" w:rsidRPr="00084084" w:rsidRDefault="008736CD" w:rsidP="008736CD">
      <w:pPr>
        <w:pStyle w:val="FSCtPara"/>
        <w:ind w:hanging="567"/>
        <w:rPr>
          <w:b/>
        </w:rPr>
      </w:pPr>
      <w:r>
        <w:t>(d)</w:t>
      </w:r>
      <w:r>
        <w:tab/>
        <w:t>in English.</w:t>
      </w:r>
    </w:p>
    <w:p w14:paraId="5F6E0DFC" w14:textId="77777777" w:rsidR="008736CD" w:rsidRDefault="008736CD" w:rsidP="008736CD">
      <w:pPr>
        <w:pStyle w:val="FSCtMain"/>
      </w:pPr>
      <w:r>
        <w:tab/>
        <w:t>(12)</w:t>
      </w:r>
      <w:r>
        <w:tab/>
        <w:t>The</w:t>
      </w:r>
      <w:r w:rsidRPr="000176AF">
        <w:t xml:space="preserve"> </w:t>
      </w:r>
      <w:r>
        <w:t xml:space="preserve">border of the </w:t>
      </w:r>
      <w:r w:rsidRPr="00037493">
        <w:t xml:space="preserve">*pregnancy warning </w:t>
      </w:r>
      <w:r>
        <w:t>mark</w:t>
      </w:r>
      <w:r w:rsidRPr="000176AF">
        <w:t xml:space="preserve"> </w:t>
      </w:r>
      <w:r>
        <w:t xml:space="preserve">must be </w:t>
      </w:r>
      <w:r w:rsidRPr="000176AF">
        <w:rPr>
          <w:szCs w:val="20"/>
        </w:rPr>
        <w:t xml:space="preserve">in the colour </w:t>
      </w:r>
      <w:r>
        <w:rPr>
          <w:szCs w:val="20"/>
        </w:rPr>
        <w:t xml:space="preserve">black. </w:t>
      </w:r>
    </w:p>
    <w:p w14:paraId="1C1B775B" w14:textId="77777777" w:rsidR="008736CD" w:rsidRPr="00DC4538" w:rsidRDefault="008736CD" w:rsidP="008736CD">
      <w:pPr>
        <w:pStyle w:val="FSCtMain"/>
        <w:rPr>
          <w:szCs w:val="20"/>
        </w:rPr>
      </w:pPr>
      <w:r>
        <w:lastRenderedPageBreak/>
        <w:tab/>
        <w:t>(13</w:t>
      </w:r>
      <w:r w:rsidRPr="00DC4538">
        <w:t>)</w:t>
      </w:r>
      <w:r w:rsidRPr="00192154">
        <w:tab/>
      </w:r>
      <w:r>
        <w:t>The</w:t>
      </w:r>
      <w:r w:rsidRPr="00DC4538">
        <w:t xml:space="preserve"> *pregnancy </w:t>
      </w:r>
      <w:r w:rsidRPr="00A36CAE">
        <w:t>warning mark</w:t>
      </w:r>
      <w:r w:rsidRPr="00DC4538">
        <w:t xml:space="preserve"> </w:t>
      </w:r>
      <w:r>
        <w:t xml:space="preserve">must </w:t>
      </w:r>
      <w:r w:rsidRPr="00DC4538">
        <w:t xml:space="preserve">be displayed on the package with </w:t>
      </w:r>
      <w:r w:rsidRPr="00DC4538">
        <w:rPr>
          <w:szCs w:val="20"/>
        </w:rPr>
        <w:t>a clear space that:</w:t>
      </w:r>
    </w:p>
    <w:p w14:paraId="64BEACBB" w14:textId="77777777" w:rsidR="008736CD" w:rsidRPr="00DC4538" w:rsidRDefault="008736CD" w:rsidP="008736CD">
      <w:pPr>
        <w:pStyle w:val="FSCtMain"/>
        <w:tabs>
          <w:tab w:val="clear" w:pos="1134"/>
          <w:tab w:val="left" w:pos="1701"/>
        </w:tabs>
        <w:spacing w:before="60" w:after="60"/>
        <w:ind w:left="2268" w:hanging="2268"/>
        <w:rPr>
          <w:szCs w:val="20"/>
        </w:rPr>
      </w:pPr>
      <w:r w:rsidRPr="00DC4538">
        <w:rPr>
          <w:szCs w:val="20"/>
        </w:rPr>
        <w:tab/>
        <w:t>(</w:t>
      </w:r>
      <w:r>
        <w:rPr>
          <w:szCs w:val="20"/>
        </w:rPr>
        <w:t>a</w:t>
      </w:r>
      <w:r w:rsidRPr="00DC4538">
        <w:rPr>
          <w:szCs w:val="20"/>
        </w:rPr>
        <w:t>)</w:t>
      </w:r>
      <w:r w:rsidRPr="00DC4538">
        <w:rPr>
          <w:szCs w:val="20"/>
        </w:rPr>
        <w:tab/>
        <w:t xml:space="preserve">surrounds the outside of the border of the </w:t>
      </w:r>
      <w:r w:rsidRPr="00DC4538">
        <w:t>pregnancy warning mark</w:t>
      </w:r>
      <w:r w:rsidRPr="00DC4538">
        <w:rPr>
          <w:szCs w:val="20"/>
        </w:rPr>
        <w:t xml:space="preserve">; and </w:t>
      </w:r>
    </w:p>
    <w:p w14:paraId="01F57780" w14:textId="77777777" w:rsidR="008736CD" w:rsidRPr="00DC4538" w:rsidRDefault="008736CD" w:rsidP="008736CD">
      <w:pPr>
        <w:pStyle w:val="FSCtMain"/>
        <w:tabs>
          <w:tab w:val="clear" w:pos="1134"/>
          <w:tab w:val="left" w:pos="1701"/>
        </w:tabs>
        <w:spacing w:before="60" w:after="60"/>
        <w:ind w:left="2268" w:hanging="2268"/>
      </w:pPr>
      <w:r w:rsidRPr="00DC4538">
        <w:rPr>
          <w:szCs w:val="20"/>
        </w:rPr>
        <w:tab/>
        <w:t>(</w:t>
      </w:r>
      <w:r>
        <w:rPr>
          <w:szCs w:val="20"/>
        </w:rPr>
        <w:t>b</w:t>
      </w:r>
      <w:r w:rsidRPr="00DC4538">
        <w:rPr>
          <w:szCs w:val="20"/>
        </w:rPr>
        <w:t>)</w:t>
      </w:r>
      <w:r w:rsidRPr="00DC4538">
        <w:rPr>
          <w:szCs w:val="20"/>
        </w:rPr>
        <w:tab/>
        <w:t>is at least 3mm in width</w:t>
      </w:r>
      <w:r w:rsidRPr="00DC4538">
        <w:t>.</w:t>
      </w:r>
    </w:p>
    <w:p w14:paraId="40F61CC0" w14:textId="77777777" w:rsidR="008736CD" w:rsidRDefault="008736CD" w:rsidP="008736CD">
      <w:pPr>
        <w:pStyle w:val="FSCtMain"/>
      </w:pPr>
      <w:r w:rsidRPr="00CC4E5A">
        <w:tab/>
        <w:t>(</w:t>
      </w:r>
      <w:r>
        <w:t>14</w:t>
      </w:r>
      <w:r w:rsidRPr="00CC4E5A">
        <w:t>)</w:t>
      </w:r>
      <w:r w:rsidRPr="00CC4E5A">
        <w:tab/>
      </w:r>
      <w:r>
        <w:t>The</w:t>
      </w:r>
      <w:r w:rsidRPr="00CC4E5A">
        <w:t xml:space="preserve"> </w:t>
      </w:r>
      <w:r w:rsidRPr="009C49F6">
        <w:t>*</w:t>
      </w:r>
      <w:r w:rsidRPr="00CC4E5A">
        <w:t xml:space="preserve">pregnancy warning </w:t>
      </w:r>
      <w:r>
        <w:t>mark</w:t>
      </w:r>
      <w:r w:rsidRPr="00CC4E5A">
        <w:t xml:space="preserve"> must be displayed as a whole and without modification.</w:t>
      </w:r>
    </w:p>
    <w:p w14:paraId="3CB9D4E2" w14:textId="77777777" w:rsidR="008736CD" w:rsidRPr="004B3578" w:rsidRDefault="008736CD" w:rsidP="008736CD">
      <w:pPr>
        <w:pStyle w:val="FSCtMain"/>
        <w:rPr>
          <w:color w:val="FF0000"/>
        </w:rPr>
      </w:pPr>
      <w:r>
        <w:tab/>
        <w:t>(15)</w:t>
      </w:r>
      <w:r>
        <w:tab/>
        <w:t xml:space="preserve">In this section, </w:t>
      </w:r>
      <w:r w:rsidRPr="004B7257">
        <w:rPr>
          <w:szCs w:val="20"/>
        </w:rPr>
        <w:t xml:space="preserve">a </w:t>
      </w:r>
      <w:r w:rsidRPr="004B3578">
        <w:rPr>
          <w:b/>
          <w:szCs w:val="20"/>
        </w:rPr>
        <w:t xml:space="preserve">post-print </w:t>
      </w:r>
      <w:r>
        <w:rPr>
          <w:b/>
          <w:szCs w:val="20"/>
        </w:rPr>
        <w:t>(</w:t>
      </w:r>
      <w:r w:rsidRPr="004B3578">
        <w:rPr>
          <w:b/>
          <w:szCs w:val="20"/>
        </w:rPr>
        <w:t>flexographic</w:t>
      </w:r>
      <w:r>
        <w:rPr>
          <w:b/>
          <w:szCs w:val="20"/>
        </w:rPr>
        <w:t>)</w:t>
      </w:r>
      <w:r w:rsidRPr="004B3578">
        <w:rPr>
          <w:b/>
          <w:szCs w:val="20"/>
        </w:rPr>
        <w:t xml:space="preserve"> </w:t>
      </w:r>
      <w:r w:rsidRPr="004B3578">
        <w:rPr>
          <w:rFonts w:eastAsiaTheme="minorHAnsi"/>
          <w:b/>
          <w:szCs w:val="20"/>
          <w:lang w:eastAsia="en-US"/>
        </w:rPr>
        <w:t>printing process</w:t>
      </w:r>
      <w:r>
        <w:rPr>
          <w:rFonts w:eastAsiaTheme="minorHAnsi"/>
          <w:szCs w:val="20"/>
          <w:lang w:eastAsia="en-US"/>
        </w:rPr>
        <w:t xml:space="preserve"> means </w:t>
      </w:r>
      <w:r w:rsidRPr="008B5BEF">
        <w:rPr>
          <w:rFonts w:eastAsiaTheme="minorHAnsi"/>
          <w:szCs w:val="20"/>
          <w:lang w:eastAsia="en-US"/>
        </w:rPr>
        <w:t>the pregnancy warning mark is printed directly on to the out</w:t>
      </w:r>
      <w:r>
        <w:rPr>
          <w:rFonts w:eastAsiaTheme="minorHAnsi"/>
          <w:szCs w:val="20"/>
          <w:lang w:eastAsia="en-US"/>
        </w:rPr>
        <w:t>side</w:t>
      </w:r>
      <w:r w:rsidRPr="008B5BEF">
        <w:rPr>
          <w:rFonts w:eastAsiaTheme="minorHAnsi"/>
          <w:szCs w:val="20"/>
          <w:lang w:eastAsia="en-US"/>
        </w:rPr>
        <w:t xml:space="preserve"> liner of corrugated cardboard packaging using flexible raised image printing plates.</w:t>
      </w:r>
      <w:r>
        <w:rPr>
          <w:rFonts w:eastAsiaTheme="minorHAnsi"/>
          <w:szCs w:val="20"/>
          <w:lang w:eastAsia="en-US"/>
        </w:rPr>
        <w:t xml:space="preserve"> </w:t>
      </w:r>
    </w:p>
    <w:p w14:paraId="318967A0" w14:textId="77777777" w:rsidR="00AF06FC" w:rsidRDefault="00AB0275" w:rsidP="00AB0275">
      <w:pPr>
        <w:rPr>
          <w:lang w:val="en-AU" w:eastAsia="en-GB" w:bidi="ar-SA"/>
        </w:rPr>
      </w:pPr>
      <w:r w:rsidRPr="00932F14">
        <w:br w:type="page"/>
      </w:r>
    </w:p>
    <w:p w14:paraId="7F59324C" w14:textId="77777777" w:rsidR="00AB0275" w:rsidRDefault="002C4A91" w:rsidP="00AB0275">
      <w:pPr>
        <w:pStyle w:val="Heading2"/>
        <w:ind w:left="0" w:firstLine="0"/>
      </w:pPr>
      <w:bookmarkStart w:id="115" w:name="_Toc114057814"/>
      <w:r w:rsidRPr="00932F14">
        <w:lastRenderedPageBreak/>
        <w:t xml:space="preserve">Attachment </w:t>
      </w:r>
      <w:r>
        <w:t xml:space="preserve">B – </w:t>
      </w:r>
      <w:r w:rsidR="00AB0275">
        <w:t>Draft Explanatory Statement</w:t>
      </w:r>
      <w:bookmarkEnd w:id="115"/>
    </w:p>
    <w:p w14:paraId="1BEB9143"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3730705C" w14:textId="77777777" w:rsidR="00AB0275" w:rsidRDefault="00AB0275" w:rsidP="00AB0275">
      <w:pPr>
        <w:rPr>
          <w:lang w:val="en-AU" w:eastAsia="en-GB" w:bidi="ar-SA"/>
        </w:rPr>
      </w:pPr>
    </w:p>
    <w:p w14:paraId="58535C07"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0FE53E2" w14:textId="77777777" w:rsidR="00AB0275" w:rsidRPr="00D13E34" w:rsidRDefault="00AB0275" w:rsidP="00AB0275">
      <w:pPr>
        <w:widowControl/>
        <w:autoSpaceDE w:val="0"/>
        <w:autoSpaceDN w:val="0"/>
        <w:adjustRightInd w:val="0"/>
        <w:rPr>
          <w:rFonts w:eastAsia="Calibri" w:cs="Arial"/>
          <w:bCs/>
          <w:szCs w:val="22"/>
          <w:lang w:val="en-AU" w:bidi="ar-SA"/>
        </w:rPr>
      </w:pPr>
    </w:p>
    <w:p w14:paraId="07E4C8B1" w14:textId="77777777" w:rsidR="00AB0275" w:rsidRPr="00120CCF" w:rsidRDefault="00AB0275" w:rsidP="00AB0275">
      <w:pPr>
        <w:widowControl/>
        <w:autoSpaceDE w:val="0"/>
        <w:autoSpaceDN w:val="0"/>
        <w:adjustRightInd w:val="0"/>
        <w:rPr>
          <w:rFonts w:eastAsia="Calibri" w:cs="Arial"/>
          <w:bCs/>
          <w:szCs w:val="22"/>
          <w:lang w:val="en-AU" w:bidi="ar-SA"/>
        </w:rPr>
      </w:pPr>
      <w:r w:rsidRPr="00120CCF">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EF3DBA1" w14:textId="77777777" w:rsidR="00AB0275" w:rsidRPr="000576EB" w:rsidRDefault="00AB0275" w:rsidP="00AB0275">
      <w:pPr>
        <w:widowControl/>
        <w:autoSpaceDE w:val="0"/>
        <w:autoSpaceDN w:val="0"/>
        <w:adjustRightInd w:val="0"/>
        <w:rPr>
          <w:rFonts w:eastAsia="Calibri" w:cs="Arial"/>
          <w:bCs/>
          <w:color w:val="FF0000"/>
          <w:szCs w:val="22"/>
          <w:lang w:val="en-AU" w:bidi="ar-SA"/>
        </w:rPr>
      </w:pPr>
    </w:p>
    <w:p w14:paraId="1C3DAB92" w14:textId="11CDEEC1" w:rsidR="00AB0275" w:rsidRPr="00A058DF" w:rsidRDefault="00B55AEC" w:rsidP="00AB0275">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The Authority </w:t>
      </w:r>
      <w:r w:rsidR="00AB0275" w:rsidRPr="00A058DF">
        <w:rPr>
          <w:rFonts w:eastAsia="Calibri" w:cs="Arial"/>
          <w:bCs/>
          <w:szCs w:val="22"/>
          <w:lang w:val="en-AU" w:bidi="ar-SA"/>
        </w:rPr>
        <w:t xml:space="preserve">accepted Application </w:t>
      </w:r>
      <w:r w:rsidR="00A058DF">
        <w:rPr>
          <w:rFonts w:eastAsia="Calibri" w:cs="Arial"/>
          <w:bCs/>
          <w:szCs w:val="22"/>
          <w:lang w:val="en-AU" w:bidi="ar-SA"/>
        </w:rPr>
        <w:t>A1256</w:t>
      </w:r>
      <w:r w:rsidR="00AB0275" w:rsidRPr="00A058DF">
        <w:rPr>
          <w:rFonts w:eastAsia="Calibri" w:cs="Arial"/>
          <w:bCs/>
          <w:szCs w:val="22"/>
          <w:lang w:val="en-AU" w:bidi="ar-SA"/>
        </w:rPr>
        <w:t xml:space="preserve"> which seeks </w:t>
      </w:r>
      <w:r w:rsidR="00F02CA4">
        <w:rPr>
          <w:rFonts w:eastAsia="Calibri" w:cs="Arial"/>
          <w:bCs/>
          <w:szCs w:val="22"/>
          <w:lang w:val="en-AU" w:bidi="ar-SA"/>
        </w:rPr>
        <w:t>approval</w:t>
      </w:r>
      <w:r w:rsidR="002F701A">
        <w:rPr>
          <w:rFonts w:eastAsia="Calibri" w:cs="Arial"/>
          <w:bCs/>
          <w:szCs w:val="22"/>
          <w:lang w:val="en-AU" w:bidi="ar-SA"/>
        </w:rPr>
        <w:t xml:space="preserve"> for</w:t>
      </w:r>
      <w:r w:rsidR="002F701A" w:rsidRPr="002F701A">
        <w:rPr>
          <w:rFonts w:eastAsia="Calibri" w:cs="Arial"/>
          <w:bCs/>
          <w:szCs w:val="22"/>
          <w:lang w:val="en-AU" w:bidi="ar-SA"/>
        </w:rPr>
        <w:t xml:space="preserve"> pregnancy warning labels on corrugated cardboard packaging used for multiple individual units of alcoholic beverages to be in a single colour on a contrasting background. </w:t>
      </w:r>
      <w:r w:rsidR="00AB0275" w:rsidRPr="00A058DF">
        <w:rPr>
          <w:rFonts w:eastAsia="Calibri" w:cs="Arial"/>
          <w:bCs/>
          <w:szCs w:val="22"/>
          <w:lang w:val="en-AU" w:bidi="ar-SA"/>
        </w:rPr>
        <w:t xml:space="preserve">The Authority considered the Application in accordance with Division 1 of Part 3 and has </w:t>
      </w:r>
      <w:r w:rsidR="00CA3C65" w:rsidRPr="00A058DF">
        <w:rPr>
          <w:rFonts w:eastAsia="Calibri" w:cs="Arial"/>
          <w:bCs/>
          <w:szCs w:val="22"/>
          <w:lang w:val="en-AU" w:bidi="ar-SA"/>
        </w:rPr>
        <w:t>prepared</w:t>
      </w:r>
      <w:r w:rsidR="00AB0275" w:rsidRPr="00A058DF">
        <w:rPr>
          <w:rFonts w:eastAsia="Calibri" w:cs="Arial"/>
          <w:bCs/>
          <w:szCs w:val="22"/>
          <w:lang w:val="en-AU" w:bidi="ar-SA"/>
        </w:rPr>
        <w:t xml:space="preserve"> a draft </w:t>
      </w:r>
      <w:r w:rsidR="00A058DF" w:rsidRPr="00A058DF">
        <w:rPr>
          <w:rFonts w:eastAsia="Calibri" w:cs="Arial"/>
          <w:bCs/>
          <w:szCs w:val="22"/>
          <w:lang w:val="en-AU" w:bidi="ar-SA"/>
        </w:rPr>
        <w:t>variation</w:t>
      </w:r>
      <w:r w:rsidR="00AB0275" w:rsidRPr="00A058DF">
        <w:rPr>
          <w:rFonts w:eastAsia="Calibri" w:cs="Arial"/>
          <w:bCs/>
          <w:szCs w:val="22"/>
          <w:lang w:val="en-AU" w:bidi="ar-SA"/>
        </w:rPr>
        <w:t xml:space="preserve"> </w:t>
      </w:r>
    </w:p>
    <w:p w14:paraId="6E18B81C" w14:textId="77777777" w:rsidR="00AB0275" w:rsidRPr="00D13E34" w:rsidRDefault="00AB0275" w:rsidP="00AB0275">
      <w:pPr>
        <w:widowControl/>
        <w:autoSpaceDE w:val="0"/>
        <w:autoSpaceDN w:val="0"/>
        <w:adjustRightInd w:val="0"/>
        <w:rPr>
          <w:rFonts w:eastAsia="Calibri" w:cs="Arial"/>
          <w:bCs/>
          <w:szCs w:val="22"/>
          <w:lang w:val="en-AU" w:bidi="ar-SA"/>
        </w:rPr>
      </w:pPr>
    </w:p>
    <w:p w14:paraId="455BEF06" w14:textId="77777777" w:rsidR="00BF45FA" w:rsidRDefault="00BF45FA" w:rsidP="00AB0275">
      <w:pPr>
        <w:rPr>
          <w:b/>
          <w:lang w:val="en-AU" w:eastAsia="en-GB" w:bidi="ar-SA"/>
        </w:rPr>
      </w:pPr>
      <w:r>
        <w:rPr>
          <w:b/>
          <w:lang w:val="en-AU" w:eastAsia="en-GB" w:bidi="ar-SA"/>
        </w:rPr>
        <w:t xml:space="preserve">2. </w:t>
      </w:r>
      <w:r>
        <w:rPr>
          <w:b/>
          <w:lang w:val="en-AU" w:eastAsia="en-GB" w:bidi="ar-SA"/>
        </w:rPr>
        <w:tab/>
        <w:t>Variation will be a legislative instrument</w:t>
      </w:r>
    </w:p>
    <w:p w14:paraId="72EDA5E6" w14:textId="77777777" w:rsidR="00BF45FA" w:rsidRDefault="00BF45FA" w:rsidP="00AB0275">
      <w:pPr>
        <w:rPr>
          <w:b/>
          <w:lang w:val="en-AU" w:eastAsia="en-GB" w:bidi="ar-SA"/>
        </w:rPr>
      </w:pPr>
    </w:p>
    <w:p w14:paraId="0D187E2C" w14:textId="77777777" w:rsidR="00712774" w:rsidRPr="008531CC" w:rsidRDefault="00712774" w:rsidP="00712774">
      <w:pPr>
        <w:rPr>
          <w:rFonts w:cs="Arial"/>
          <w:szCs w:val="22"/>
          <w:lang w:bidi="ar-SA"/>
        </w:rPr>
      </w:pPr>
      <w:r w:rsidRPr="008531CC">
        <w:rPr>
          <w:rFonts w:cs="Arial"/>
        </w:rPr>
        <w:t xml:space="preserve">If approved, the draft variation would be a legislative instrument for the purposes of the </w:t>
      </w:r>
      <w:r w:rsidRPr="008531CC">
        <w:rPr>
          <w:rFonts w:cs="Arial"/>
          <w:i/>
          <w:iCs/>
        </w:rPr>
        <w:t>Legislation Act 2003</w:t>
      </w:r>
      <w:r w:rsidRPr="008531CC">
        <w:rPr>
          <w:rFonts w:cs="Arial"/>
        </w:rPr>
        <w:t xml:space="preserve"> (see section 94 of the FSANZ Act) and be publicly available on the Federal Register of Legislation (</w:t>
      </w:r>
      <w:hyperlink r:id="rId38" w:history="1">
        <w:r w:rsidRPr="008531CC">
          <w:rPr>
            <w:rFonts w:cs="Arial"/>
            <w:color w:val="3333FF"/>
            <w:u w:val="single"/>
          </w:rPr>
          <w:t>www.legislation.gov.au</w:t>
        </w:r>
      </w:hyperlink>
      <w:r w:rsidRPr="008531CC">
        <w:rPr>
          <w:rFonts w:cs="Arial"/>
        </w:rPr>
        <w:t>).</w:t>
      </w:r>
    </w:p>
    <w:p w14:paraId="7FAD15CD" w14:textId="77777777" w:rsidR="00712774" w:rsidRPr="008531CC" w:rsidRDefault="00712774" w:rsidP="00712774">
      <w:pPr>
        <w:rPr>
          <w:rFonts w:cs="Arial"/>
        </w:rPr>
      </w:pPr>
    </w:p>
    <w:p w14:paraId="2E2A660A" w14:textId="77777777" w:rsidR="00712774" w:rsidRPr="00FB45C7" w:rsidRDefault="00712774" w:rsidP="00712774">
      <w:pPr>
        <w:rPr>
          <w:rFonts w:cs="Arial"/>
        </w:rPr>
      </w:pPr>
      <w:r w:rsidRPr="008531CC">
        <w:rPr>
          <w:rFonts w:cs="Arial"/>
        </w:rPr>
        <w:t xml:space="preserve">If approved, this instrument would not be subject to the disallowance or sunsetting provisions of the </w:t>
      </w:r>
      <w:r w:rsidRPr="008531CC">
        <w:rPr>
          <w:rFonts w:cs="Arial"/>
          <w:i/>
          <w:iCs/>
        </w:rPr>
        <w:t xml:space="preserve">Legislation Act 2003. </w:t>
      </w:r>
      <w:r w:rsidRPr="008531CC">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2B995E2F" w14:textId="77777777" w:rsidR="00712774" w:rsidRPr="006553CB" w:rsidRDefault="00712774" w:rsidP="00712774">
      <w:pPr>
        <w:rPr>
          <w:rFonts w:cs="Arial"/>
        </w:rPr>
      </w:pPr>
    </w:p>
    <w:p w14:paraId="35BEEEAB" w14:textId="77777777" w:rsidR="00712774" w:rsidRDefault="00712774" w:rsidP="00712774">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Food Ministers Meeting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7FC24964" w14:textId="77777777" w:rsidR="00BF45FA" w:rsidRDefault="00BF45FA" w:rsidP="00AB0275">
      <w:pPr>
        <w:rPr>
          <w:b/>
          <w:lang w:val="en-AU" w:eastAsia="en-GB" w:bidi="ar-SA"/>
        </w:rPr>
      </w:pPr>
    </w:p>
    <w:p w14:paraId="5B868640" w14:textId="77777777" w:rsidR="00AB0275" w:rsidRDefault="00BF45FA" w:rsidP="00AB0275">
      <w:pPr>
        <w:rPr>
          <w:b/>
          <w:lang w:val="en-AU" w:eastAsia="en-GB" w:bidi="ar-SA"/>
        </w:rPr>
      </w:pPr>
      <w:r>
        <w:rPr>
          <w:b/>
          <w:lang w:val="en-AU" w:eastAsia="en-GB" w:bidi="ar-SA"/>
        </w:rPr>
        <w:t>3</w:t>
      </w:r>
      <w:r w:rsidR="00AB0275">
        <w:rPr>
          <w:b/>
          <w:lang w:val="en-AU" w:eastAsia="en-GB" w:bidi="ar-SA"/>
        </w:rPr>
        <w:t>.</w:t>
      </w:r>
      <w:r w:rsidR="00AB0275">
        <w:rPr>
          <w:b/>
          <w:lang w:val="en-AU" w:eastAsia="en-GB" w:bidi="ar-SA"/>
        </w:rPr>
        <w:tab/>
        <w:t xml:space="preserve">Purpose </w:t>
      </w:r>
    </w:p>
    <w:p w14:paraId="52D92814" w14:textId="77777777" w:rsidR="00AB0275" w:rsidRDefault="00AB0275" w:rsidP="00AB0275">
      <w:pPr>
        <w:rPr>
          <w:lang w:val="en-AU" w:eastAsia="en-GB" w:bidi="ar-SA"/>
        </w:rPr>
      </w:pPr>
    </w:p>
    <w:p w14:paraId="6FE37781" w14:textId="6D4CDC56" w:rsidR="00AB0275" w:rsidRDefault="00AB0275" w:rsidP="00AB0275">
      <w:pPr>
        <w:rPr>
          <w:lang w:val="en-AU" w:eastAsia="en-GB" w:bidi="ar-SA"/>
        </w:rPr>
      </w:pPr>
      <w:r>
        <w:rPr>
          <w:lang w:val="en-AU" w:eastAsia="en-GB" w:bidi="ar-SA"/>
        </w:rPr>
        <w:t xml:space="preserve">The Authority has </w:t>
      </w:r>
      <w:r w:rsidR="00CA3C65" w:rsidRPr="007213D2">
        <w:rPr>
          <w:lang w:val="en-AU" w:eastAsia="en-GB" w:bidi="ar-SA"/>
        </w:rPr>
        <w:t>prepar</w:t>
      </w:r>
      <w:r w:rsidRPr="007213D2">
        <w:rPr>
          <w:lang w:val="en-AU" w:eastAsia="en-GB" w:bidi="ar-SA"/>
        </w:rPr>
        <w:t>ed</w:t>
      </w:r>
      <w:r w:rsidR="007213D2">
        <w:rPr>
          <w:lang w:val="en-AU" w:eastAsia="en-GB" w:bidi="ar-SA"/>
        </w:rPr>
        <w:t xml:space="preserve"> the draft variation amending Standard 2.7.1</w:t>
      </w:r>
      <w:r w:rsidR="00D6185F">
        <w:rPr>
          <w:lang w:val="en-AU" w:eastAsia="en-GB" w:bidi="ar-SA"/>
        </w:rPr>
        <w:t xml:space="preserve"> of the Code</w:t>
      </w:r>
      <w:r w:rsidR="007213D2">
        <w:rPr>
          <w:lang w:val="en-AU" w:eastAsia="en-GB" w:bidi="ar-SA"/>
        </w:rPr>
        <w:t xml:space="preserve"> to permit </w:t>
      </w:r>
      <w:r w:rsidR="00D6185F">
        <w:rPr>
          <w:lang w:val="en-AU" w:eastAsia="en-GB" w:bidi="ar-SA"/>
        </w:rPr>
        <w:t xml:space="preserve">an alternative pregnancy mark </w:t>
      </w:r>
      <w:r w:rsidR="00D6185F">
        <w:t>for c</w:t>
      </w:r>
      <w:r w:rsidR="00D6185F">
        <w:rPr>
          <w:lang w:bidi="ar-SA"/>
        </w:rPr>
        <w:t xml:space="preserve">orrugated cardboard outer packaging of more than one individual unit of a prescribed alcoholic beverage, when a post-print (flexographic) </w:t>
      </w:r>
      <w:r w:rsidR="00DF38CA">
        <w:rPr>
          <w:lang w:bidi="ar-SA"/>
        </w:rPr>
        <w:t xml:space="preserve">printing </w:t>
      </w:r>
      <w:r w:rsidR="00D6185F">
        <w:rPr>
          <w:lang w:bidi="ar-SA"/>
        </w:rPr>
        <w:t>process is used, subject to certain conditions.</w:t>
      </w:r>
    </w:p>
    <w:p w14:paraId="046C93D1" w14:textId="77777777" w:rsidR="00AB0275" w:rsidRDefault="00AB0275" w:rsidP="00AB0275">
      <w:pPr>
        <w:rPr>
          <w:lang w:val="en-AU" w:eastAsia="en-GB" w:bidi="ar-SA"/>
        </w:rPr>
      </w:pPr>
    </w:p>
    <w:p w14:paraId="546F6775" w14:textId="77777777" w:rsidR="00AB0275" w:rsidRPr="000576EB" w:rsidRDefault="00BF45FA" w:rsidP="00AB0275">
      <w:pPr>
        <w:rPr>
          <w:b/>
          <w:lang w:val="en-AU" w:eastAsia="en-GB" w:bidi="ar-SA"/>
        </w:rPr>
      </w:pPr>
      <w:r>
        <w:rPr>
          <w:b/>
          <w:lang w:val="en-AU" w:eastAsia="en-GB" w:bidi="ar-SA"/>
        </w:rPr>
        <w:lastRenderedPageBreak/>
        <w:t>4</w:t>
      </w:r>
      <w:r w:rsidR="00AB0275" w:rsidRPr="000576EB">
        <w:rPr>
          <w:b/>
          <w:lang w:val="en-AU" w:eastAsia="en-GB" w:bidi="ar-SA"/>
        </w:rPr>
        <w:t>.</w:t>
      </w:r>
      <w:r w:rsidR="00AB0275" w:rsidRPr="000576EB">
        <w:rPr>
          <w:b/>
          <w:lang w:val="en-AU" w:eastAsia="en-GB" w:bidi="ar-SA"/>
        </w:rPr>
        <w:tab/>
        <w:t>Documents incorporated by reference</w:t>
      </w:r>
    </w:p>
    <w:p w14:paraId="50E0C5A0" w14:textId="77777777" w:rsidR="00AB0275" w:rsidRDefault="00AB0275" w:rsidP="00AB0275">
      <w:pPr>
        <w:rPr>
          <w:lang w:val="en-AU" w:eastAsia="en-GB" w:bidi="ar-SA"/>
        </w:rPr>
      </w:pPr>
    </w:p>
    <w:p w14:paraId="6E926EA5" w14:textId="601EB568" w:rsidR="00D6185F" w:rsidRDefault="00D6185F" w:rsidP="00D6185F">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w:t>
      </w:r>
      <w:r>
        <w:rPr>
          <w:rFonts w:eastAsia="Calibri" w:cs="Arial"/>
          <w:bCs/>
          <w:szCs w:val="22"/>
          <w:lang w:val="en-AU" w:bidi="ar-SA"/>
        </w:rPr>
        <w:t xml:space="preserve">draft </w:t>
      </w:r>
      <w:r w:rsidRPr="00D13E34">
        <w:rPr>
          <w:rFonts w:eastAsia="Calibri" w:cs="Arial"/>
          <w:bCs/>
          <w:szCs w:val="22"/>
          <w:lang w:val="en-AU" w:bidi="ar-SA"/>
        </w:rPr>
        <w:t xml:space="preserve">variation </w:t>
      </w:r>
      <w:r>
        <w:rPr>
          <w:rFonts w:eastAsia="Calibri" w:cs="Arial"/>
          <w:bCs/>
          <w:szCs w:val="22"/>
          <w:lang w:val="en-AU" w:bidi="ar-SA"/>
        </w:rPr>
        <w:t>does</w:t>
      </w:r>
      <w:r w:rsidRPr="00D13E34">
        <w:rPr>
          <w:rFonts w:eastAsia="Calibri" w:cs="Arial"/>
          <w:bCs/>
          <w:szCs w:val="22"/>
          <w:lang w:val="en-AU" w:bidi="ar-SA"/>
        </w:rPr>
        <w:t xml:space="preserve"> not incorporate any documents by reference.</w:t>
      </w:r>
    </w:p>
    <w:p w14:paraId="5C43243A" w14:textId="77777777" w:rsidR="00AB0275" w:rsidRDefault="00AB0275" w:rsidP="00AB0275">
      <w:pPr>
        <w:rPr>
          <w:lang w:val="en-AU" w:eastAsia="en-GB" w:bidi="ar-SA"/>
        </w:rPr>
      </w:pPr>
    </w:p>
    <w:p w14:paraId="16D1B970" w14:textId="77777777" w:rsidR="00AB0275" w:rsidRPr="000576EB" w:rsidRDefault="00BF45FA" w:rsidP="00AB0275">
      <w:pPr>
        <w:rPr>
          <w:b/>
          <w:lang w:val="en-AU" w:eastAsia="en-GB" w:bidi="ar-SA"/>
        </w:rPr>
      </w:pPr>
      <w:r>
        <w:rPr>
          <w:b/>
          <w:lang w:val="en-AU" w:eastAsia="en-GB" w:bidi="ar-SA"/>
        </w:rPr>
        <w:t>5</w:t>
      </w:r>
      <w:r w:rsidR="00AB0275" w:rsidRPr="000576EB">
        <w:rPr>
          <w:b/>
          <w:lang w:val="en-AU" w:eastAsia="en-GB" w:bidi="ar-SA"/>
        </w:rPr>
        <w:t>.</w:t>
      </w:r>
      <w:r w:rsidR="00AB0275" w:rsidRPr="000576EB">
        <w:rPr>
          <w:b/>
          <w:lang w:val="en-AU" w:eastAsia="en-GB" w:bidi="ar-SA"/>
        </w:rPr>
        <w:tab/>
        <w:t>Consultation</w:t>
      </w:r>
    </w:p>
    <w:p w14:paraId="06C3B48A" w14:textId="77777777" w:rsidR="00AB0275" w:rsidRDefault="00AB0275" w:rsidP="00AB0275">
      <w:pPr>
        <w:rPr>
          <w:lang w:val="en-AU" w:eastAsia="en-GB" w:bidi="ar-SA"/>
        </w:rPr>
      </w:pPr>
    </w:p>
    <w:p w14:paraId="10C1D411" w14:textId="24934A2D" w:rsidR="00D6185F" w:rsidRPr="00D22FB5" w:rsidRDefault="00D6185F" w:rsidP="00D6185F">
      <w:pPr>
        <w:rPr>
          <w:lang w:val="en-AU"/>
        </w:rPr>
      </w:pPr>
      <w:r w:rsidRPr="00D22FB5">
        <w:rPr>
          <w:szCs w:val="22"/>
        </w:rPr>
        <w:t xml:space="preserve">In accordance with the procedure in Division 1 of Part 3 of the FSANZ Act, </w:t>
      </w:r>
      <w:r w:rsidRPr="00D22FB5">
        <w:rPr>
          <w:rFonts w:eastAsia="Calibri" w:cs="Arial"/>
          <w:bCs/>
          <w:szCs w:val="22"/>
          <w:lang w:val="en-AU" w:bidi="ar-SA"/>
        </w:rPr>
        <w:t>the Authority</w:t>
      </w:r>
      <w:r w:rsidRPr="00D22FB5">
        <w:rPr>
          <w:szCs w:val="22"/>
        </w:rPr>
        <w:t>’s consideration of Application A12</w:t>
      </w:r>
      <w:r>
        <w:rPr>
          <w:szCs w:val="22"/>
        </w:rPr>
        <w:t>56</w:t>
      </w:r>
      <w:r w:rsidRPr="00D22FB5">
        <w:rPr>
          <w:szCs w:val="22"/>
        </w:rPr>
        <w:t xml:space="preserve"> will include one round of public consultation following an assessment and the preparation of a draft </w:t>
      </w:r>
      <w:r>
        <w:rPr>
          <w:szCs w:val="22"/>
        </w:rPr>
        <w:t>variation</w:t>
      </w:r>
      <w:r w:rsidRPr="00D22FB5">
        <w:rPr>
          <w:szCs w:val="22"/>
        </w:rPr>
        <w:t xml:space="preserve"> and associated assessment summary. </w:t>
      </w:r>
    </w:p>
    <w:p w14:paraId="36E5B398" w14:textId="77777777" w:rsidR="00AB0275" w:rsidRPr="00D06616" w:rsidRDefault="00AB0275" w:rsidP="00AB0275">
      <w:pPr>
        <w:rPr>
          <w:rFonts w:eastAsia="Calibri"/>
          <w:color w:val="FF0000"/>
          <w:lang w:val="en-AU" w:bidi="ar-SA"/>
        </w:rPr>
      </w:pPr>
    </w:p>
    <w:p w14:paraId="1DA56C86" w14:textId="39D2DF90" w:rsidR="00D6185F" w:rsidRDefault="00D6185F" w:rsidP="00D6185F">
      <w:pPr>
        <w:widowControl/>
        <w:autoSpaceDE w:val="0"/>
        <w:autoSpaceDN w:val="0"/>
        <w:adjustRightInd w:val="0"/>
      </w:pPr>
      <w:r>
        <w:t xml:space="preserve">The </w:t>
      </w:r>
      <w:r w:rsidRPr="00563FFD">
        <w:t xml:space="preserve">Office of Best Practice Regulation (OBPR) granted FSANZ an exemption from the requirement to develop a Regulation Impact Statement (RIS) for this application (OBPR correspondence dated </w:t>
      </w:r>
      <w:r>
        <w:t>23 August</w:t>
      </w:r>
      <w:r w:rsidRPr="00563FFD">
        <w:t xml:space="preserve"> 2022, OBPR ID:22-</w:t>
      </w:r>
      <w:r w:rsidRPr="27F72A86">
        <w:rPr>
          <w:rFonts w:eastAsia="Arial" w:cs="Arial"/>
        </w:rPr>
        <w:t>03128</w:t>
      </w:r>
      <w:r w:rsidRPr="00563FFD">
        <w:t xml:space="preserve">). This exemption was provided as the OBPR assessed the currently proposed change is </w:t>
      </w:r>
      <w:r w:rsidRPr="487DCE71">
        <w:rPr>
          <w:rFonts w:eastAsia="Arial" w:cs="Arial"/>
        </w:rPr>
        <w:t>unlikely to have a more than minor regulatory impact</w:t>
      </w:r>
      <w:r w:rsidRPr="00563FFD">
        <w:t xml:space="preserve"> on consumers, businesses and government. </w:t>
      </w:r>
    </w:p>
    <w:p w14:paraId="7DCE9476" w14:textId="77777777" w:rsidR="00AB0275" w:rsidRDefault="00AB0275" w:rsidP="00AB0275">
      <w:pPr>
        <w:widowControl/>
        <w:rPr>
          <w:rFonts w:eastAsiaTheme="minorHAnsi" w:cs="Arial"/>
          <w:b/>
          <w:bCs/>
          <w:szCs w:val="22"/>
          <w:lang w:val="en-AU" w:bidi="ar-SA"/>
        </w:rPr>
      </w:pPr>
    </w:p>
    <w:p w14:paraId="792277B6" w14:textId="77777777" w:rsidR="00AB0275" w:rsidRDefault="00BF45FA" w:rsidP="00AB0275">
      <w:pPr>
        <w:widowControl/>
        <w:rPr>
          <w:rFonts w:eastAsiaTheme="minorHAnsi" w:cs="Arial"/>
          <w:b/>
          <w:bCs/>
          <w:szCs w:val="22"/>
          <w:lang w:val="en-AU" w:bidi="ar-SA"/>
        </w:rPr>
      </w:pPr>
      <w:r>
        <w:rPr>
          <w:rFonts w:eastAsiaTheme="minorHAnsi" w:cs="Arial"/>
          <w:b/>
          <w:bCs/>
          <w:szCs w:val="22"/>
          <w:lang w:val="en-AU" w:bidi="ar-SA"/>
        </w:rPr>
        <w:t>6</w:t>
      </w:r>
      <w:r w:rsidR="00AB0275">
        <w:rPr>
          <w:rFonts w:eastAsiaTheme="minorHAnsi" w:cs="Arial"/>
          <w:b/>
          <w:bCs/>
          <w:szCs w:val="22"/>
          <w:lang w:val="en-AU" w:bidi="ar-SA"/>
        </w:rPr>
        <w:t>.</w:t>
      </w:r>
      <w:r w:rsidR="00AB0275">
        <w:rPr>
          <w:rFonts w:eastAsiaTheme="minorHAnsi" w:cs="Arial"/>
          <w:b/>
          <w:bCs/>
          <w:szCs w:val="22"/>
          <w:lang w:val="en-AU" w:bidi="ar-SA"/>
        </w:rPr>
        <w:tab/>
        <w:t>Statement of compatibility with human rights</w:t>
      </w:r>
    </w:p>
    <w:p w14:paraId="3A578345" w14:textId="77777777" w:rsidR="00AB0275" w:rsidRDefault="00AB0275" w:rsidP="00AB0275">
      <w:pPr>
        <w:rPr>
          <w:rFonts w:eastAsiaTheme="minorHAnsi"/>
          <w:lang w:val="en-AU" w:bidi="ar-SA"/>
        </w:rPr>
      </w:pPr>
    </w:p>
    <w:p w14:paraId="4A53B52C" w14:textId="77777777" w:rsidR="00AB0275" w:rsidRDefault="00BF45FA" w:rsidP="00AB0275">
      <w:pPr>
        <w:rPr>
          <w:rFonts w:eastAsiaTheme="minorHAnsi"/>
          <w:lang w:val="en-AU" w:bidi="ar-SA"/>
        </w:rPr>
      </w:pPr>
      <w:r>
        <w:rPr>
          <w:rFonts w:eastAsiaTheme="minorHAnsi"/>
          <w:lang w:val="en-AU" w:bidi="ar-SA"/>
        </w:rPr>
        <w:t xml:space="preserve">If approved, this </w:t>
      </w:r>
      <w:r w:rsidR="00AB0275">
        <w:rPr>
          <w:rFonts w:eastAsiaTheme="minorHAnsi"/>
          <w:lang w:val="en-AU" w:bidi="ar-SA"/>
        </w:rPr>
        <w:t xml:space="preserve">instrument </w:t>
      </w:r>
      <w:r>
        <w:rPr>
          <w:rFonts w:eastAsiaTheme="minorHAnsi"/>
          <w:lang w:val="en-AU" w:bidi="ar-SA"/>
        </w:rPr>
        <w:t xml:space="preserve">would be </w:t>
      </w:r>
      <w:r w:rsidR="00AB0275">
        <w:rPr>
          <w:rFonts w:eastAsiaTheme="minorHAnsi"/>
          <w:lang w:val="en-AU" w:bidi="ar-SA"/>
        </w:rPr>
        <w:t xml:space="preserve">exempt from the requirements for a statement of compatibility with human rights as it is a non-disallowable instrument under section </w:t>
      </w:r>
      <w:r w:rsidR="00707A70">
        <w:rPr>
          <w:rFonts w:eastAsiaTheme="minorHAnsi"/>
          <w:lang w:val="en-AU" w:bidi="ar-SA"/>
        </w:rPr>
        <w:t xml:space="preserve">44 </w:t>
      </w:r>
      <w:r w:rsidR="00AB0275">
        <w:rPr>
          <w:rFonts w:eastAsiaTheme="minorHAnsi"/>
          <w:lang w:val="en-AU" w:bidi="ar-SA"/>
        </w:rPr>
        <w:t xml:space="preserve">of the </w:t>
      </w:r>
      <w:r w:rsidR="00707A70">
        <w:rPr>
          <w:rFonts w:eastAsiaTheme="minorHAnsi"/>
          <w:lang w:val="en-AU" w:bidi="ar-SA"/>
        </w:rPr>
        <w:t>Legislation Act 2003</w:t>
      </w:r>
      <w:r w:rsidR="00AB0275">
        <w:rPr>
          <w:rFonts w:eastAsiaTheme="minorHAnsi"/>
          <w:lang w:val="en-AU" w:bidi="ar-SA"/>
        </w:rPr>
        <w:t>.</w:t>
      </w:r>
    </w:p>
    <w:p w14:paraId="085A414A" w14:textId="77777777" w:rsidR="00AB0275" w:rsidRDefault="00AB0275" w:rsidP="00AB0275">
      <w:pPr>
        <w:rPr>
          <w:rFonts w:eastAsiaTheme="minorHAnsi"/>
          <w:lang w:val="en-AU" w:bidi="ar-SA"/>
        </w:rPr>
      </w:pPr>
    </w:p>
    <w:p w14:paraId="0987615E" w14:textId="77777777" w:rsidR="00AB0275" w:rsidRPr="00700239" w:rsidRDefault="00BF45FA" w:rsidP="00AB0275">
      <w:pPr>
        <w:rPr>
          <w:b/>
          <w:lang w:val="en-AU" w:eastAsia="en-GB" w:bidi="ar-SA"/>
        </w:rPr>
      </w:pPr>
      <w:r>
        <w:rPr>
          <w:b/>
        </w:rPr>
        <w:t>7</w:t>
      </w:r>
      <w:r w:rsidR="00AB0275" w:rsidRPr="00700239">
        <w:rPr>
          <w:b/>
        </w:rPr>
        <w:t>.</w:t>
      </w:r>
      <w:r w:rsidR="00AB0275" w:rsidRPr="00700239">
        <w:rPr>
          <w:b/>
        </w:rPr>
        <w:tab/>
      </w:r>
      <w:r w:rsidR="00AB0275" w:rsidRPr="00700239">
        <w:rPr>
          <w:b/>
          <w:lang w:val="en-AU" w:eastAsia="en-GB" w:bidi="ar-SA"/>
        </w:rPr>
        <w:t>Variation</w:t>
      </w:r>
    </w:p>
    <w:p w14:paraId="3B9C0A38" w14:textId="6C40CCEC" w:rsidR="002E7C64" w:rsidRDefault="002E7C64" w:rsidP="00AB0275">
      <w:pPr>
        <w:rPr>
          <w:iCs/>
        </w:rPr>
      </w:pPr>
    </w:p>
    <w:p w14:paraId="12BC84AB" w14:textId="77777777" w:rsidR="00B55AEC" w:rsidRPr="001551B7" w:rsidRDefault="00B55AEC" w:rsidP="00B55AEC">
      <w:pPr>
        <w:rPr>
          <w:bCs/>
          <w:iCs/>
        </w:rPr>
      </w:pPr>
      <w:r w:rsidRPr="001551B7">
        <w:rPr>
          <w:bCs/>
          <w:iCs/>
        </w:rPr>
        <w:t>The Schedule to the instrument varies Standard 2.7.1 of  the Code.</w:t>
      </w:r>
    </w:p>
    <w:p w14:paraId="653A4B31" w14:textId="77777777" w:rsidR="00B55AEC" w:rsidRPr="001551B7" w:rsidRDefault="00B55AEC" w:rsidP="00B55AEC">
      <w:pPr>
        <w:rPr>
          <w:bCs/>
          <w:iCs/>
        </w:rPr>
      </w:pPr>
    </w:p>
    <w:p w14:paraId="0863840D" w14:textId="77777777" w:rsidR="00B55AEC" w:rsidRPr="00F5415F" w:rsidRDefault="00B55AEC" w:rsidP="00B55AEC">
      <w:pPr>
        <w:rPr>
          <w:iCs/>
        </w:rPr>
      </w:pPr>
      <w:r w:rsidRPr="00F5415F">
        <w:rPr>
          <w:b/>
          <w:bCs/>
          <w:iCs/>
        </w:rPr>
        <w:t>Item [1]</w:t>
      </w:r>
      <w:r w:rsidRPr="002E7C64">
        <w:rPr>
          <w:iCs/>
        </w:rPr>
        <w:t xml:space="preserve"> varies </w:t>
      </w:r>
      <w:r>
        <w:rPr>
          <w:iCs/>
        </w:rPr>
        <w:t xml:space="preserve">section </w:t>
      </w:r>
      <w:r w:rsidRPr="002E7C64">
        <w:rPr>
          <w:iCs/>
        </w:rPr>
        <w:t>2.7.</w:t>
      </w:r>
      <w:r>
        <w:rPr>
          <w:iCs/>
        </w:rPr>
        <w:t xml:space="preserve">1—10 by inserting new subsection (2A) into that section. The new subsection provides that </w:t>
      </w:r>
      <w:r w:rsidRPr="00B55F65">
        <w:rPr>
          <w:iCs/>
        </w:rPr>
        <w:t xml:space="preserve">the </w:t>
      </w:r>
      <w:r w:rsidRPr="007A07ED">
        <w:t>pregnancy warning mark</w:t>
      </w:r>
      <w:r w:rsidRPr="00B55F65">
        <w:rPr>
          <w:iCs/>
        </w:rPr>
        <w:t xml:space="preserve"> size requirements</w:t>
      </w:r>
      <w:r>
        <w:rPr>
          <w:iCs/>
        </w:rPr>
        <w:t xml:space="preserve"> set by subsection 2.7.1—10(2) do not apply to a </w:t>
      </w:r>
      <w:r w:rsidRPr="007A07ED">
        <w:t>pregnancy warning mark</w:t>
      </w:r>
      <w:r>
        <w:rPr>
          <w:iCs/>
        </w:rPr>
        <w:t xml:space="preserve"> to which section 2.7.1—13 applies.</w:t>
      </w:r>
      <w:r>
        <w:rPr>
          <w:i/>
        </w:rPr>
        <w:t xml:space="preserve"> </w:t>
      </w:r>
    </w:p>
    <w:p w14:paraId="6CCD93C1" w14:textId="77777777" w:rsidR="00B55AEC" w:rsidRPr="00DE5528" w:rsidRDefault="00B55AEC" w:rsidP="00B55AEC"/>
    <w:p w14:paraId="25AA3353" w14:textId="77777777" w:rsidR="00B55AEC" w:rsidRPr="007A07ED" w:rsidRDefault="00B55AEC" w:rsidP="00B55AEC">
      <w:pPr>
        <w:rPr>
          <w:bCs/>
          <w:iCs/>
        </w:rPr>
      </w:pPr>
      <w:r w:rsidRPr="007A07ED">
        <w:rPr>
          <w:bCs/>
          <w:iCs/>
        </w:rPr>
        <w:t>Items [2] and [3] vary section 2.7.1—12</w:t>
      </w:r>
      <w:r>
        <w:rPr>
          <w:bCs/>
          <w:iCs/>
        </w:rPr>
        <w:t xml:space="preserve"> to allow for the different size, form and other requirements that new </w:t>
      </w:r>
      <w:r>
        <w:t>section 2.7.1—13 will impose for a</w:t>
      </w:r>
      <w:r w:rsidRPr="00012DB3">
        <w:rPr>
          <w:szCs w:val="20"/>
        </w:rPr>
        <w:t xml:space="preserve"> </w:t>
      </w:r>
      <w:r w:rsidRPr="00012DB3">
        <w:t xml:space="preserve">pregnancy warning </w:t>
      </w:r>
      <w:r>
        <w:t xml:space="preserve">mark to which that new section applies. </w:t>
      </w:r>
    </w:p>
    <w:p w14:paraId="0D7FB353" w14:textId="77777777" w:rsidR="00B55AEC" w:rsidRDefault="00B55AEC" w:rsidP="00B55AEC">
      <w:pPr>
        <w:rPr>
          <w:iCs/>
        </w:rPr>
      </w:pPr>
    </w:p>
    <w:p w14:paraId="770F2528" w14:textId="77777777" w:rsidR="00B55AEC" w:rsidRDefault="00B55AEC" w:rsidP="00B55AEC">
      <w:pPr>
        <w:rPr>
          <w:iCs/>
        </w:rPr>
      </w:pPr>
      <w:r w:rsidRPr="00F5415F">
        <w:rPr>
          <w:b/>
          <w:bCs/>
          <w:iCs/>
        </w:rPr>
        <w:t>Item [2]</w:t>
      </w:r>
      <w:r w:rsidRPr="00F5415F">
        <w:rPr>
          <w:iCs/>
        </w:rPr>
        <w:t xml:space="preserve"> varies</w:t>
      </w:r>
      <w:r>
        <w:rPr>
          <w:iCs/>
        </w:rPr>
        <w:t xml:space="preserve"> </w:t>
      </w:r>
      <w:r w:rsidRPr="00BE6726">
        <w:rPr>
          <w:iCs/>
        </w:rPr>
        <w:t>s</w:t>
      </w:r>
      <w:r>
        <w:rPr>
          <w:iCs/>
        </w:rPr>
        <w:t>ubs</w:t>
      </w:r>
      <w:r w:rsidRPr="00BE6726">
        <w:rPr>
          <w:iCs/>
        </w:rPr>
        <w:t>ection 2.7.1—12</w:t>
      </w:r>
      <w:r>
        <w:rPr>
          <w:iCs/>
        </w:rPr>
        <w:t xml:space="preserve">(1) by replacing the word “A” where first occurring with the following text </w:t>
      </w:r>
      <w:r>
        <w:t xml:space="preserve">“Subject to subsection (10), a”. This amendment will provide that </w:t>
      </w:r>
      <w:r>
        <w:rPr>
          <w:iCs/>
        </w:rPr>
        <w:t xml:space="preserve">section 2.7.1—12 shall apply or operate subject to subsection 2.7.1—12(10). </w:t>
      </w:r>
      <w:r w:rsidRPr="00F5415F">
        <w:rPr>
          <w:iCs/>
        </w:rPr>
        <w:t xml:space="preserve"> </w:t>
      </w:r>
    </w:p>
    <w:p w14:paraId="1B115D9A" w14:textId="77777777" w:rsidR="00B55AEC" w:rsidRDefault="00B55AEC" w:rsidP="00B55AEC">
      <w:pPr>
        <w:rPr>
          <w:iCs/>
        </w:rPr>
      </w:pPr>
    </w:p>
    <w:p w14:paraId="0440B058" w14:textId="77777777" w:rsidR="00B55AEC" w:rsidRDefault="00B55AEC" w:rsidP="00B55AEC">
      <w:pPr>
        <w:rPr>
          <w:iCs/>
        </w:rPr>
      </w:pPr>
      <w:r w:rsidRPr="00F5415F">
        <w:rPr>
          <w:b/>
          <w:bCs/>
          <w:iCs/>
        </w:rPr>
        <w:t>Item [</w:t>
      </w:r>
      <w:r>
        <w:rPr>
          <w:b/>
          <w:bCs/>
          <w:iCs/>
        </w:rPr>
        <w:t>3</w:t>
      </w:r>
      <w:r w:rsidRPr="00F5415F">
        <w:rPr>
          <w:b/>
          <w:bCs/>
          <w:iCs/>
        </w:rPr>
        <w:t>]</w:t>
      </w:r>
      <w:r w:rsidRPr="00F5415F">
        <w:rPr>
          <w:iCs/>
        </w:rPr>
        <w:t xml:space="preserve"> </w:t>
      </w:r>
      <w:r w:rsidRPr="002E7C64">
        <w:rPr>
          <w:iCs/>
        </w:rPr>
        <w:t xml:space="preserve">varies </w:t>
      </w:r>
      <w:r>
        <w:rPr>
          <w:iCs/>
        </w:rPr>
        <w:t xml:space="preserve">section </w:t>
      </w:r>
      <w:r w:rsidRPr="002E7C64">
        <w:rPr>
          <w:iCs/>
        </w:rPr>
        <w:t>2.7.</w:t>
      </w:r>
      <w:r>
        <w:rPr>
          <w:iCs/>
        </w:rPr>
        <w:t xml:space="preserve">1—12 by inserting new subsection (10) into that section. The new subsection provides that section </w:t>
      </w:r>
      <w:r w:rsidRPr="002E7C64">
        <w:rPr>
          <w:iCs/>
        </w:rPr>
        <w:t>2.7.</w:t>
      </w:r>
      <w:r>
        <w:rPr>
          <w:iCs/>
        </w:rPr>
        <w:t xml:space="preserve">1—12 </w:t>
      </w:r>
      <w:r>
        <w:t>does not apply to a</w:t>
      </w:r>
      <w:r w:rsidRPr="00012DB3">
        <w:rPr>
          <w:szCs w:val="20"/>
        </w:rPr>
        <w:t xml:space="preserve"> </w:t>
      </w:r>
      <w:r w:rsidRPr="00012DB3">
        <w:t xml:space="preserve">pregnancy warning </w:t>
      </w:r>
      <w:r>
        <w:t>mark to which section 2.7.1—13 applies.</w:t>
      </w:r>
    </w:p>
    <w:p w14:paraId="40B9D9D0" w14:textId="77777777" w:rsidR="00B55AEC" w:rsidRDefault="00B55AEC" w:rsidP="00B55AEC">
      <w:pPr>
        <w:rPr>
          <w:iCs/>
        </w:rPr>
      </w:pPr>
    </w:p>
    <w:p w14:paraId="34E5E318" w14:textId="09AE09EC" w:rsidR="00B55AEC" w:rsidRPr="00BE6726" w:rsidRDefault="00B55AEC" w:rsidP="00B55AEC">
      <w:pPr>
        <w:rPr>
          <w:b/>
          <w:bCs/>
          <w:iCs/>
        </w:rPr>
      </w:pPr>
      <w:r w:rsidRPr="00F5415F">
        <w:rPr>
          <w:b/>
          <w:bCs/>
          <w:iCs/>
        </w:rPr>
        <w:t xml:space="preserve">Item </w:t>
      </w:r>
      <w:r>
        <w:rPr>
          <w:b/>
          <w:bCs/>
          <w:iCs/>
        </w:rPr>
        <w:t>[4]</w:t>
      </w:r>
      <w:r w:rsidRPr="00BE6726">
        <w:rPr>
          <w:b/>
          <w:bCs/>
          <w:iCs/>
        </w:rPr>
        <w:t xml:space="preserve"> </w:t>
      </w:r>
      <w:r w:rsidRPr="007A07ED">
        <w:rPr>
          <w:bCs/>
          <w:iCs/>
        </w:rPr>
        <w:t>inserts a new section 2.7.1—13 after section 2.7.1—12</w:t>
      </w:r>
      <w:r w:rsidR="0059646E">
        <w:rPr>
          <w:bCs/>
          <w:iCs/>
        </w:rPr>
        <w:t>.</w:t>
      </w:r>
    </w:p>
    <w:p w14:paraId="7245E416" w14:textId="77777777" w:rsidR="00B55AEC" w:rsidRDefault="00B55AEC" w:rsidP="00B55AEC">
      <w:pPr>
        <w:rPr>
          <w:iCs/>
        </w:rPr>
      </w:pPr>
    </w:p>
    <w:p w14:paraId="7E4C0E0F" w14:textId="74BF61BF" w:rsidR="00B55AEC" w:rsidRDefault="00B55AEC" w:rsidP="00B55AEC">
      <w:pPr>
        <w:rPr>
          <w:szCs w:val="20"/>
        </w:rPr>
      </w:pPr>
      <w:r>
        <w:rPr>
          <w:iCs/>
        </w:rPr>
        <w:t xml:space="preserve">The new section 2.7.1—13 provides for the use of an optional alternative pregnancy warning mark on the corrugated cardboard outer packaging of certain </w:t>
      </w:r>
      <w:r w:rsidRPr="00012DB3">
        <w:rPr>
          <w:szCs w:val="20"/>
        </w:rPr>
        <w:t>prescribed alcoholic beverag</w:t>
      </w:r>
      <w:r>
        <w:rPr>
          <w:szCs w:val="20"/>
        </w:rPr>
        <w:t>es</w:t>
      </w:r>
      <w:r w:rsidR="0059646E">
        <w:rPr>
          <w:szCs w:val="20"/>
        </w:rPr>
        <w:t>.</w:t>
      </w:r>
      <w:r>
        <w:rPr>
          <w:szCs w:val="20"/>
        </w:rPr>
        <w:t xml:space="preserve"> </w:t>
      </w:r>
    </w:p>
    <w:p w14:paraId="46C44F35" w14:textId="77777777" w:rsidR="00B55AEC" w:rsidRDefault="00B55AEC" w:rsidP="00B55AEC">
      <w:pPr>
        <w:rPr>
          <w:szCs w:val="20"/>
        </w:rPr>
      </w:pPr>
    </w:p>
    <w:p w14:paraId="741F8489" w14:textId="77777777" w:rsidR="00B55AEC" w:rsidRPr="005D6E75" w:rsidRDefault="00B55AEC" w:rsidP="00B55AEC">
      <w:pPr>
        <w:rPr>
          <w:iCs/>
          <w:szCs w:val="22"/>
        </w:rPr>
      </w:pPr>
      <w:r w:rsidRPr="00FA37D0">
        <w:rPr>
          <w:szCs w:val="22"/>
        </w:rPr>
        <w:t xml:space="preserve">Subsection </w:t>
      </w:r>
      <w:r w:rsidRPr="005D6E75">
        <w:rPr>
          <w:iCs/>
          <w:szCs w:val="22"/>
        </w:rPr>
        <w:t>2.7.1—13</w:t>
      </w:r>
      <w:r w:rsidRPr="005D6E75">
        <w:rPr>
          <w:szCs w:val="22"/>
        </w:rPr>
        <w:t xml:space="preserve">(1) provides that </w:t>
      </w:r>
      <w:r w:rsidRPr="005D6E75">
        <w:rPr>
          <w:iCs/>
          <w:szCs w:val="22"/>
        </w:rPr>
        <w:t>new section 2.7.1—13 applies to a pregnancy warning mark that:</w:t>
      </w:r>
    </w:p>
    <w:p w14:paraId="782C6544" w14:textId="77777777" w:rsidR="00B55AEC" w:rsidRPr="007A07ED" w:rsidRDefault="00B55AEC" w:rsidP="00B55AEC">
      <w:pPr>
        <w:pStyle w:val="FSCtMain"/>
        <w:tabs>
          <w:tab w:val="clear" w:pos="1134"/>
        </w:tabs>
        <w:spacing w:before="60" w:after="60"/>
        <w:ind w:left="567" w:hanging="567"/>
        <w:rPr>
          <w:sz w:val="22"/>
        </w:rPr>
      </w:pPr>
      <w:r w:rsidRPr="007A07ED">
        <w:rPr>
          <w:sz w:val="22"/>
        </w:rPr>
        <w:t xml:space="preserve">(a) </w:t>
      </w:r>
      <w:r w:rsidRPr="007A07ED">
        <w:rPr>
          <w:sz w:val="22"/>
        </w:rPr>
        <w:tab/>
        <w:t>is required by current subsection 2.7.1—10(1) to be displayed on the outer package of a prescribed alcoholic beverage; and</w:t>
      </w:r>
    </w:p>
    <w:p w14:paraId="5A35D850" w14:textId="77777777" w:rsidR="00B55AEC" w:rsidRPr="007A07ED" w:rsidRDefault="00B55AEC" w:rsidP="00B55AEC">
      <w:pPr>
        <w:pStyle w:val="FSCtMain"/>
        <w:tabs>
          <w:tab w:val="clear" w:pos="1134"/>
        </w:tabs>
        <w:spacing w:before="60" w:after="60"/>
        <w:ind w:left="567" w:hanging="567"/>
        <w:rPr>
          <w:sz w:val="22"/>
        </w:rPr>
      </w:pPr>
      <w:r w:rsidRPr="007A07ED">
        <w:rPr>
          <w:sz w:val="22"/>
        </w:rPr>
        <w:t>(b)</w:t>
      </w:r>
      <w:r w:rsidRPr="007A07ED">
        <w:rPr>
          <w:sz w:val="22"/>
        </w:rPr>
        <w:tab/>
        <w:t xml:space="preserve">is displayed on a prescribed alcoholic beverage to which subsection </w:t>
      </w:r>
      <w:r w:rsidRPr="007A07ED">
        <w:rPr>
          <w:iCs w:val="0"/>
          <w:sz w:val="22"/>
        </w:rPr>
        <w:t>2.7.1—13</w:t>
      </w:r>
      <w:r w:rsidRPr="007A07ED">
        <w:rPr>
          <w:sz w:val="22"/>
        </w:rPr>
        <w:t>(2) applies; and</w:t>
      </w:r>
    </w:p>
    <w:p w14:paraId="5EB86395" w14:textId="77777777" w:rsidR="00B55AEC" w:rsidRPr="007A07ED" w:rsidRDefault="00B55AEC" w:rsidP="00B55AEC">
      <w:pPr>
        <w:pStyle w:val="FSCtMain"/>
        <w:tabs>
          <w:tab w:val="clear" w:pos="1134"/>
        </w:tabs>
        <w:spacing w:before="60" w:after="60"/>
        <w:ind w:left="567" w:hanging="567"/>
        <w:rPr>
          <w:rFonts w:eastAsiaTheme="minorHAnsi"/>
          <w:sz w:val="22"/>
          <w:lang w:eastAsia="en-US"/>
        </w:rPr>
      </w:pPr>
      <w:r w:rsidRPr="007A07ED">
        <w:rPr>
          <w:sz w:val="22"/>
        </w:rPr>
        <w:lastRenderedPageBreak/>
        <w:t>(c)</w:t>
      </w:r>
      <w:r w:rsidRPr="007A07ED">
        <w:rPr>
          <w:sz w:val="22"/>
        </w:rPr>
        <w:tab/>
        <w:t xml:space="preserve">has been </w:t>
      </w:r>
      <w:r w:rsidRPr="007A07ED">
        <w:rPr>
          <w:rFonts w:eastAsiaTheme="minorHAnsi"/>
          <w:sz w:val="22"/>
          <w:lang w:eastAsia="en-US"/>
        </w:rPr>
        <w:t xml:space="preserve">printed on the outer package of that </w:t>
      </w:r>
      <w:r w:rsidRPr="007A07ED">
        <w:rPr>
          <w:sz w:val="22"/>
        </w:rPr>
        <w:t xml:space="preserve">prescribed alcoholic beverage using a post-print (flexographic) </w:t>
      </w:r>
      <w:r w:rsidRPr="007A07ED">
        <w:rPr>
          <w:rFonts w:eastAsiaTheme="minorHAnsi"/>
          <w:sz w:val="22"/>
          <w:lang w:eastAsia="en-US"/>
        </w:rPr>
        <w:t>printing process; and</w:t>
      </w:r>
    </w:p>
    <w:p w14:paraId="62D121E5" w14:textId="77777777" w:rsidR="00B55AEC" w:rsidRPr="007A07ED" w:rsidRDefault="00B55AEC" w:rsidP="00B55AEC">
      <w:pPr>
        <w:pStyle w:val="FSCtMain"/>
        <w:tabs>
          <w:tab w:val="clear" w:pos="1134"/>
        </w:tabs>
        <w:spacing w:before="60" w:after="60"/>
        <w:ind w:left="567" w:hanging="567"/>
        <w:rPr>
          <w:sz w:val="22"/>
        </w:rPr>
      </w:pPr>
      <w:r w:rsidRPr="007A07ED">
        <w:rPr>
          <w:rFonts w:eastAsiaTheme="minorHAnsi"/>
          <w:sz w:val="22"/>
          <w:lang w:eastAsia="en-US"/>
        </w:rPr>
        <w:t xml:space="preserve">(d) </w:t>
      </w:r>
      <w:r w:rsidRPr="007A07ED">
        <w:rPr>
          <w:rFonts w:eastAsiaTheme="minorHAnsi"/>
          <w:sz w:val="22"/>
          <w:lang w:eastAsia="en-US"/>
        </w:rPr>
        <w:tab/>
        <w:t xml:space="preserve">complies with each requirement imposed by subsections </w:t>
      </w:r>
      <w:r w:rsidRPr="007A07ED">
        <w:rPr>
          <w:iCs w:val="0"/>
          <w:sz w:val="22"/>
        </w:rPr>
        <w:t>2.7.1—13</w:t>
      </w:r>
      <w:r w:rsidRPr="007A07ED">
        <w:rPr>
          <w:sz w:val="22"/>
        </w:rPr>
        <w:t>(3) to (14).</w:t>
      </w:r>
    </w:p>
    <w:p w14:paraId="0C0E3512" w14:textId="77777777" w:rsidR="00B55AEC" w:rsidRDefault="00B55AEC" w:rsidP="00B55AEC">
      <w:pPr>
        <w:rPr>
          <w:iCs/>
        </w:rPr>
      </w:pPr>
    </w:p>
    <w:p w14:paraId="1816B614" w14:textId="77777777" w:rsidR="00B55AEC" w:rsidRDefault="00B55AEC" w:rsidP="00B55AEC">
      <w:r>
        <w:rPr>
          <w:iCs/>
        </w:rPr>
        <w:t xml:space="preserve">If each of the above four conditions are not met, the alternative requirements provided in new section 2.7.1—13 for a pregnancy warning mark on corrugated cardboard outer package will not apply and cannot be used. In that case, the pregnancy warning mark must instead </w:t>
      </w:r>
      <w:r w:rsidRPr="00FA37D0">
        <w:rPr>
          <w:iCs/>
          <w:szCs w:val="22"/>
        </w:rPr>
        <w:t>comply with the</w:t>
      </w:r>
      <w:r w:rsidRPr="005D6E75">
        <w:rPr>
          <w:iCs/>
          <w:szCs w:val="22"/>
        </w:rPr>
        <w:t xml:space="preserve"> current requirements imposed by subsection 2.7.1—10(2) and section 2.7.1—12.</w:t>
      </w:r>
    </w:p>
    <w:p w14:paraId="3A53DC22" w14:textId="77777777" w:rsidR="00B55AEC" w:rsidRDefault="00B55AEC" w:rsidP="00B55AEC"/>
    <w:p w14:paraId="3E30C70A" w14:textId="5ABDD98E" w:rsidR="00B55AEC" w:rsidRPr="005D6E75" w:rsidRDefault="00B55AEC" w:rsidP="00B55AEC">
      <w:r w:rsidRPr="00FA37D0">
        <w:rPr>
          <w:szCs w:val="22"/>
        </w:rPr>
        <w:t xml:space="preserve">Subsection </w:t>
      </w:r>
      <w:r w:rsidRPr="005D6E75">
        <w:rPr>
          <w:iCs/>
          <w:szCs w:val="22"/>
        </w:rPr>
        <w:t>2.7.1—13</w:t>
      </w:r>
      <w:r w:rsidRPr="005D6E75">
        <w:rPr>
          <w:szCs w:val="22"/>
        </w:rPr>
        <w:t xml:space="preserve">(2) states that it </w:t>
      </w:r>
      <w:r w:rsidRPr="005D6E75">
        <w:rPr>
          <w:iCs/>
          <w:szCs w:val="22"/>
        </w:rPr>
        <w:t xml:space="preserve">applies to </w:t>
      </w:r>
      <w:r w:rsidRPr="005D6E75">
        <w:rPr>
          <w:szCs w:val="22"/>
        </w:rPr>
        <w:t>a prescribed alcoholic beverage that has: packaging that includes more than one individual unit; and an outer package that is made of corrugated cardboard; and that</w:t>
      </w:r>
      <w:r w:rsidR="0059646E">
        <w:rPr>
          <w:szCs w:val="22"/>
        </w:rPr>
        <w:t xml:space="preserve"> the</w:t>
      </w:r>
      <w:r w:rsidRPr="005D6E75">
        <w:rPr>
          <w:szCs w:val="22"/>
        </w:rPr>
        <w:t xml:space="preserve"> outer package has an outside liner made of</w:t>
      </w:r>
      <w:r w:rsidRPr="005D6E75">
        <w:rPr>
          <w:rStyle w:val="normaltextrun"/>
          <w:color w:val="000000" w:themeColor="text1"/>
          <w:szCs w:val="22"/>
        </w:rPr>
        <w:t xml:space="preserve"> </w:t>
      </w:r>
      <w:r w:rsidRPr="005D6E75">
        <w:rPr>
          <w:szCs w:val="22"/>
        </w:rPr>
        <w:t>kraft, recycled or white paper.</w:t>
      </w:r>
    </w:p>
    <w:p w14:paraId="7050976F" w14:textId="77777777" w:rsidR="00B55AEC" w:rsidRPr="005D6E75" w:rsidRDefault="00B55AEC" w:rsidP="00B55AEC">
      <w:pPr>
        <w:rPr>
          <w:iCs/>
          <w:szCs w:val="22"/>
        </w:rPr>
      </w:pPr>
    </w:p>
    <w:p w14:paraId="5ECE5E21" w14:textId="77777777" w:rsidR="00B55AEC" w:rsidRDefault="00B55AEC" w:rsidP="00B55AEC">
      <w:r w:rsidRPr="007C2707">
        <w:rPr>
          <w:szCs w:val="22"/>
        </w:rPr>
        <w:t xml:space="preserve">Subsection </w:t>
      </w:r>
      <w:r w:rsidRPr="007C2707">
        <w:rPr>
          <w:iCs/>
          <w:szCs w:val="22"/>
        </w:rPr>
        <w:t>2.7.1—13</w:t>
      </w:r>
      <w:r>
        <w:rPr>
          <w:szCs w:val="22"/>
        </w:rPr>
        <w:t>(3</w:t>
      </w:r>
      <w:r w:rsidRPr="007C2707">
        <w:rPr>
          <w:szCs w:val="22"/>
        </w:rPr>
        <w:t xml:space="preserve">) </w:t>
      </w:r>
      <w:r>
        <w:rPr>
          <w:szCs w:val="22"/>
        </w:rPr>
        <w:t>requires that</w:t>
      </w:r>
      <w:r w:rsidRPr="007C2707">
        <w:rPr>
          <w:szCs w:val="22"/>
        </w:rPr>
        <w:t xml:space="preserve"> </w:t>
      </w:r>
      <w:r>
        <w:rPr>
          <w:szCs w:val="22"/>
        </w:rPr>
        <w:t xml:space="preserve">the </w:t>
      </w:r>
      <w:r w:rsidRPr="004E35D9">
        <w:t xml:space="preserve">pregnancy warning pictogram </w:t>
      </w:r>
      <w:r>
        <w:t xml:space="preserve">of the </w:t>
      </w:r>
      <w:r>
        <w:rPr>
          <w:iCs/>
        </w:rPr>
        <w:t>pregnancy warning mark</w:t>
      </w:r>
      <w:r w:rsidRPr="004E35D9">
        <w:t xml:space="preserve"> must be at least 14</w:t>
      </w:r>
      <w:r>
        <w:t xml:space="preserve"> </w:t>
      </w:r>
      <w:r w:rsidRPr="00DE680A">
        <w:rPr>
          <w:rFonts w:cs="Arial"/>
          <w:szCs w:val="20"/>
        </w:rPr>
        <w:t>millimetres</w:t>
      </w:r>
      <w:r w:rsidRPr="004E35D9">
        <w:t xml:space="preserve"> in diameter.</w:t>
      </w:r>
    </w:p>
    <w:p w14:paraId="2DFE0BE7" w14:textId="77777777" w:rsidR="00B55AEC" w:rsidRDefault="00B55AEC" w:rsidP="00B55AEC"/>
    <w:p w14:paraId="061B76B0" w14:textId="77777777" w:rsidR="00B55AEC" w:rsidRDefault="00B55AEC" w:rsidP="00B55AEC">
      <w:r w:rsidRPr="007C2707">
        <w:rPr>
          <w:szCs w:val="22"/>
        </w:rPr>
        <w:t xml:space="preserve">Subsection </w:t>
      </w:r>
      <w:r w:rsidRPr="007C2707">
        <w:rPr>
          <w:iCs/>
          <w:szCs w:val="22"/>
        </w:rPr>
        <w:t>2.7.1—13</w:t>
      </w:r>
      <w:r>
        <w:rPr>
          <w:szCs w:val="22"/>
        </w:rPr>
        <w:t>(4</w:t>
      </w:r>
      <w:r w:rsidRPr="007C2707">
        <w:rPr>
          <w:szCs w:val="22"/>
        </w:rPr>
        <w:t xml:space="preserve">) </w:t>
      </w:r>
      <w:r>
        <w:rPr>
          <w:szCs w:val="22"/>
        </w:rPr>
        <w:t>requires that</w:t>
      </w:r>
      <w:r w:rsidRPr="007C2707">
        <w:rPr>
          <w:szCs w:val="22"/>
        </w:rPr>
        <w:t xml:space="preserve"> </w:t>
      </w:r>
      <w:r>
        <w:rPr>
          <w:szCs w:val="22"/>
        </w:rPr>
        <w:t>the</w:t>
      </w:r>
      <w:r w:rsidRPr="004E35D9">
        <w:t xml:space="preserve"> size of type of the signal words</w:t>
      </w:r>
      <w:r w:rsidRPr="004E35D9">
        <w:rPr>
          <w:rFonts w:eastAsiaTheme="minorHAnsi"/>
          <w:szCs w:val="20"/>
        </w:rPr>
        <w:t xml:space="preserve"> of the </w:t>
      </w:r>
      <w:r w:rsidRPr="004E35D9">
        <w:t xml:space="preserve">pregnancy warning mark </w:t>
      </w:r>
      <w:r w:rsidRPr="004E35D9">
        <w:rPr>
          <w:rFonts w:eastAsiaTheme="minorHAnsi"/>
          <w:szCs w:val="20"/>
        </w:rPr>
        <w:t>must be</w:t>
      </w:r>
      <w:r w:rsidRPr="004E35D9">
        <w:t xml:space="preserve"> at least 4.4 </w:t>
      </w:r>
      <w:r w:rsidRPr="00DE680A">
        <w:rPr>
          <w:rFonts w:cs="Arial"/>
          <w:szCs w:val="20"/>
        </w:rPr>
        <w:t>millimetres</w:t>
      </w:r>
      <w:r>
        <w:t>.</w:t>
      </w:r>
    </w:p>
    <w:p w14:paraId="66A4E247" w14:textId="77777777" w:rsidR="00B55AEC" w:rsidRDefault="00B55AEC" w:rsidP="00B55AEC">
      <w:pPr>
        <w:rPr>
          <w:iCs/>
        </w:rPr>
      </w:pPr>
    </w:p>
    <w:p w14:paraId="5E899B4D" w14:textId="77777777" w:rsidR="00B55AEC" w:rsidRDefault="00B55AEC" w:rsidP="00B55AEC">
      <w:r w:rsidRPr="007C2707">
        <w:rPr>
          <w:szCs w:val="22"/>
        </w:rPr>
        <w:t xml:space="preserve">Subsection </w:t>
      </w:r>
      <w:r w:rsidRPr="007C2707">
        <w:rPr>
          <w:iCs/>
          <w:szCs w:val="22"/>
        </w:rPr>
        <w:t>2.7.1—13</w:t>
      </w:r>
      <w:r>
        <w:rPr>
          <w:szCs w:val="22"/>
        </w:rPr>
        <w:t>(5</w:t>
      </w:r>
      <w:r w:rsidRPr="007C2707">
        <w:rPr>
          <w:szCs w:val="22"/>
        </w:rPr>
        <w:t xml:space="preserve">) </w:t>
      </w:r>
      <w:r>
        <w:rPr>
          <w:szCs w:val="22"/>
        </w:rPr>
        <w:t>requires that</w:t>
      </w:r>
      <w:r w:rsidRPr="007C2707">
        <w:rPr>
          <w:szCs w:val="22"/>
        </w:rPr>
        <w:t xml:space="preserve"> </w:t>
      </w:r>
      <w:r>
        <w:t xml:space="preserve">the </w:t>
      </w:r>
      <w:r w:rsidRPr="004E35D9">
        <w:t>size of type of the statement</w:t>
      </w:r>
      <w:r w:rsidRPr="004E35D9">
        <w:rPr>
          <w:rFonts w:eastAsiaTheme="minorHAnsi"/>
          <w:szCs w:val="20"/>
        </w:rPr>
        <w:t xml:space="preserve"> of the </w:t>
      </w:r>
      <w:r w:rsidRPr="004E35D9">
        <w:t xml:space="preserve">pregnancy warning mark </w:t>
      </w:r>
      <w:r w:rsidRPr="004E35D9">
        <w:rPr>
          <w:rFonts w:eastAsiaTheme="minorHAnsi"/>
          <w:szCs w:val="20"/>
        </w:rPr>
        <w:t>must be</w:t>
      </w:r>
      <w:r w:rsidRPr="004E35D9">
        <w:t xml:space="preserve"> at least 3.4 </w:t>
      </w:r>
      <w:r w:rsidRPr="00DE680A">
        <w:rPr>
          <w:rFonts w:cs="Arial"/>
          <w:szCs w:val="20"/>
        </w:rPr>
        <w:t>millimetres</w:t>
      </w:r>
      <w:r>
        <w:t>.</w:t>
      </w:r>
    </w:p>
    <w:p w14:paraId="6017CD2F" w14:textId="77777777" w:rsidR="00B55AEC" w:rsidRDefault="00B55AEC" w:rsidP="00B55AEC"/>
    <w:p w14:paraId="0C2779B7" w14:textId="404FF65A" w:rsidR="00B55AEC" w:rsidRDefault="00B55AEC" w:rsidP="00B55AEC">
      <w:r w:rsidRPr="00FA37D0">
        <w:rPr>
          <w:szCs w:val="22"/>
        </w:rPr>
        <w:t xml:space="preserve">Subsection </w:t>
      </w:r>
      <w:r w:rsidRPr="00FA37D0">
        <w:rPr>
          <w:iCs/>
          <w:szCs w:val="22"/>
        </w:rPr>
        <w:t>2.7.1—13</w:t>
      </w:r>
      <w:r w:rsidRPr="00BB047A">
        <w:rPr>
          <w:szCs w:val="22"/>
        </w:rPr>
        <w:t xml:space="preserve">(6) requires that </w:t>
      </w:r>
      <w:r w:rsidRPr="005D6E75">
        <w:rPr>
          <w:szCs w:val="22"/>
        </w:rPr>
        <w:t xml:space="preserve">the background of the pregnancy warning mark must be in the same colour as the outside liner. The Note to the subsection refers </w:t>
      </w:r>
      <w:r>
        <w:rPr>
          <w:szCs w:val="22"/>
        </w:rPr>
        <w:t xml:space="preserve">the reader </w:t>
      </w:r>
      <w:r w:rsidRPr="00FA37D0">
        <w:rPr>
          <w:szCs w:val="22"/>
        </w:rPr>
        <w:t>to the requ</w:t>
      </w:r>
      <w:r w:rsidRPr="005D6E75">
        <w:rPr>
          <w:szCs w:val="22"/>
        </w:rPr>
        <w:t xml:space="preserve">irement </w:t>
      </w:r>
      <w:r w:rsidRPr="007A07ED">
        <w:rPr>
          <w:szCs w:val="22"/>
        </w:rPr>
        <w:t>imposed by subparagraph 2.7.1—13(2)(b)(ii) that the outside liner be made of</w:t>
      </w:r>
      <w:r w:rsidRPr="007A07ED">
        <w:rPr>
          <w:rStyle w:val="normaltextrun"/>
          <w:color w:val="000000" w:themeColor="text1"/>
          <w:szCs w:val="22"/>
        </w:rPr>
        <w:t xml:space="preserve"> </w:t>
      </w:r>
      <w:r w:rsidRPr="007A07ED">
        <w:rPr>
          <w:szCs w:val="22"/>
        </w:rPr>
        <w:t>kraft, recycled or white paper, the colours of which are brown, grey or white.</w:t>
      </w:r>
      <w:r w:rsidRPr="00F95525">
        <w:rPr>
          <w:sz w:val="16"/>
          <w:szCs w:val="16"/>
        </w:rPr>
        <w:t xml:space="preserve"> </w:t>
      </w:r>
      <w:r>
        <w:t xml:space="preserve"> </w:t>
      </w:r>
    </w:p>
    <w:p w14:paraId="61751BB3" w14:textId="77777777" w:rsidR="00B55AEC" w:rsidRDefault="00B55AEC" w:rsidP="00B55AEC"/>
    <w:p w14:paraId="64B48109" w14:textId="77777777" w:rsidR="00B55AEC" w:rsidRDefault="00B55AEC" w:rsidP="00B55AEC">
      <w:r w:rsidRPr="007C2707">
        <w:rPr>
          <w:szCs w:val="22"/>
        </w:rPr>
        <w:t xml:space="preserve">Subsection </w:t>
      </w:r>
      <w:r w:rsidRPr="007C2707">
        <w:rPr>
          <w:iCs/>
          <w:szCs w:val="22"/>
        </w:rPr>
        <w:t>2.7.1—13</w:t>
      </w:r>
      <w:r>
        <w:rPr>
          <w:szCs w:val="22"/>
        </w:rPr>
        <w:t>(7</w:t>
      </w:r>
      <w:r w:rsidRPr="007C2707">
        <w:rPr>
          <w:szCs w:val="22"/>
        </w:rPr>
        <w:t xml:space="preserve">) </w:t>
      </w:r>
      <w:r>
        <w:rPr>
          <w:szCs w:val="22"/>
        </w:rPr>
        <w:t>requires that</w:t>
      </w:r>
      <w:r w:rsidRPr="007C2707">
        <w:rPr>
          <w:szCs w:val="22"/>
        </w:rPr>
        <w:t xml:space="preserve"> </w:t>
      </w:r>
      <w:r>
        <w:t xml:space="preserve">the </w:t>
      </w:r>
      <w:r w:rsidRPr="00192F66">
        <w:t>c</w:t>
      </w:r>
      <w:r>
        <w:t xml:space="preserve">ircle and strikethrough of the </w:t>
      </w:r>
      <w:r w:rsidRPr="00192F66">
        <w:t>pregnancy warning pictogram must b</w:t>
      </w:r>
      <w:r>
        <w:t xml:space="preserve">e </w:t>
      </w:r>
      <w:r w:rsidRPr="00192F66">
        <w:t xml:space="preserve">in </w:t>
      </w:r>
      <w:r w:rsidRPr="00B75BF7">
        <w:t>the</w:t>
      </w:r>
      <w:r w:rsidRPr="00192F66">
        <w:t xml:space="preserve"> colour black</w:t>
      </w:r>
      <w:r>
        <w:t>.</w:t>
      </w:r>
    </w:p>
    <w:p w14:paraId="7BC71C65" w14:textId="77777777" w:rsidR="00B55AEC" w:rsidRDefault="00B55AEC" w:rsidP="00B55AEC"/>
    <w:p w14:paraId="20993EA3" w14:textId="77777777" w:rsidR="00B55AEC" w:rsidRDefault="00B55AEC" w:rsidP="00B55AEC">
      <w:r w:rsidRPr="007C2707">
        <w:rPr>
          <w:szCs w:val="22"/>
        </w:rPr>
        <w:t xml:space="preserve">Subsection </w:t>
      </w:r>
      <w:r w:rsidRPr="007C2707">
        <w:rPr>
          <w:iCs/>
          <w:szCs w:val="22"/>
        </w:rPr>
        <w:t>2.7.1—13</w:t>
      </w:r>
      <w:r>
        <w:rPr>
          <w:szCs w:val="22"/>
        </w:rPr>
        <w:t>(8</w:t>
      </w:r>
      <w:r w:rsidRPr="007C2707">
        <w:rPr>
          <w:szCs w:val="22"/>
        </w:rPr>
        <w:t xml:space="preserve">) </w:t>
      </w:r>
      <w:r>
        <w:rPr>
          <w:szCs w:val="22"/>
        </w:rPr>
        <w:t>requires that</w:t>
      </w:r>
      <w:r w:rsidRPr="007C2707">
        <w:rPr>
          <w:szCs w:val="22"/>
        </w:rPr>
        <w:t xml:space="preserve"> </w:t>
      </w:r>
      <w:r>
        <w:t>the</w:t>
      </w:r>
      <w:r w:rsidRPr="004C5687">
        <w:t xml:space="preserve"> silhouette of a pregnant woman on</w:t>
      </w:r>
      <w:r>
        <w:t xml:space="preserve"> the </w:t>
      </w:r>
      <w:r w:rsidRPr="00604EC5">
        <w:t>pregnancy warning pictogram</w:t>
      </w:r>
      <w:r>
        <w:t xml:space="preserve"> must be </w:t>
      </w:r>
      <w:r w:rsidRPr="004B7257">
        <w:t>in the colour black</w:t>
      </w:r>
      <w:r>
        <w:t>.</w:t>
      </w:r>
    </w:p>
    <w:p w14:paraId="3204B514" w14:textId="77777777" w:rsidR="00B55AEC" w:rsidRDefault="00B55AEC" w:rsidP="00B55AEC"/>
    <w:p w14:paraId="79A38D24" w14:textId="77777777" w:rsidR="00B55AEC" w:rsidRDefault="00B55AEC" w:rsidP="00B55AEC">
      <w:r w:rsidRPr="007C2707">
        <w:rPr>
          <w:szCs w:val="22"/>
        </w:rPr>
        <w:t xml:space="preserve">Subsection </w:t>
      </w:r>
      <w:r w:rsidRPr="007C2707">
        <w:rPr>
          <w:iCs/>
          <w:szCs w:val="22"/>
        </w:rPr>
        <w:t>2.7.1—13</w:t>
      </w:r>
      <w:r>
        <w:rPr>
          <w:szCs w:val="22"/>
        </w:rPr>
        <w:t>(9</w:t>
      </w:r>
      <w:r w:rsidRPr="007C2707">
        <w:rPr>
          <w:szCs w:val="22"/>
        </w:rPr>
        <w:t xml:space="preserve">) </w:t>
      </w:r>
      <w:r>
        <w:rPr>
          <w:szCs w:val="22"/>
        </w:rPr>
        <w:t xml:space="preserve">requires that the </w:t>
      </w:r>
      <w:r>
        <w:t xml:space="preserve">strikethrough of the </w:t>
      </w:r>
      <w:r w:rsidRPr="00192F66">
        <w:t>pregnancy warning pictogram</w:t>
      </w:r>
      <w:r>
        <w:t xml:space="preserve"> of the </w:t>
      </w:r>
      <w:r>
        <w:rPr>
          <w:iCs/>
        </w:rPr>
        <w:t>pregnancy warning mark</w:t>
      </w:r>
      <w:r w:rsidRPr="004E35D9">
        <w:t xml:space="preserve"> </w:t>
      </w:r>
      <w:r>
        <w:t xml:space="preserve">must be displayed with </w:t>
      </w:r>
      <w:r>
        <w:rPr>
          <w:rStyle w:val="normaltextrun"/>
          <w:color w:val="000000"/>
        </w:rPr>
        <w:t xml:space="preserve">a clear space on either side of the strikethrough so both the strikethrough and </w:t>
      </w:r>
      <w:r w:rsidRPr="004C5687">
        <w:t>silhouette of a pregnant woman on</w:t>
      </w:r>
      <w:r>
        <w:t xml:space="preserve"> the</w:t>
      </w:r>
      <w:r w:rsidRPr="00604EC5">
        <w:t xml:space="preserve"> pictogram</w:t>
      </w:r>
      <w:r>
        <w:t xml:space="preserve"> </w:t>
      </w:r>
      <w:r>
        <w:rPr>
          <w:rStyle w:val="normaltextrun"/>
          <w:color w:val="000000"/>
        </w:rPr>
        <w:t>are clearly legible.</w:t>
      </w:r>
    </w:p>
    <w:p w14:paraId="126A85DB" w14:textId="77777777" w:rsidR="00B55AEC" w:rsidRDefault="00B55AEC" w:rsidP="00B55AEC">
      <w:pPr>
        <w:rPr>
          <w:iCs/>
        </w:rPr>
      </w:pPr>
    </w:p>
    <w:p w14:paraId="1B9DEC11" w14:textId="77777777" w:rsidR="00B55AEC" w:rsidRDefault="00B55AEC" w:rsidP="00B55AEC">
      <w:pPr>
        <w:rPr>
          <w:iCs/>
        </w:rPr>
      </w:pPr>
      <w:r w:rsidRPr="007C2707">
        <w:rPr>
          <w:szCs w:val="22"/>
        </w:rPr>
        <w:t xml:space="preserve">Subsection </w:t>
      </w:r>
      <w:r w:rsidRPr="007C2707">
        <w:rPr>
          <w:iCs/>
          <w:szCs w:val="22"/>
        </w:rPr>
        <w:t>2.7.1—13</w:t>
      </w:r>
      <w:r>
        <w:rPr>
          <w:szCs w:val="22"/>
        </w:rPr>
        <w:t xml:space="preserve">(10) </w:t>
      </w:r>
      <w:r w:rsidRPr="00DE680A">
        <w:rPr>
          <w:rFonts w:cs="Arial"/>
          <w:szCs w:val="20"/>
        </w:rPr>
        <w:t xml:space="preserve">prescribes the format of the signal words </w:t>
      </w:r>
      <w:r>
        <w:rPr>
          <w:rFonts w:eastAsiaTheme="minorHAnsi"/>
          <w:szCs w:val="20"/>
        </w:rPr>
        <w:t xml:space="preserve">of the </w:t>
      </w:r>
      <w:r w:rsidRPr="00012DB3">
        <w:t xml:space="preserve">pregnancy warning </w:t>
      </w:r>
      <w:r>
        <w:t xml:space="preserve">mark </w:t>
      </w:r>
      <w:r w:rsidRPr="00DE680A">
        <w:rPr>
          <w:rFonts w:cs="Arial"/>
          <w:szCs w:val="20"/>
        </w:rPr>
        <w:t>(for example, colour, typography, English language</w:t>
      </w:r>
      <w:r>
        <w:rPr>
          <w:rFonts w:cs="Arial"/>
          <w:szCs w:val="20"/>
        </w:rPr>
        <w:t>)</w:t>
      </w:r>
      <w:r w:rsidRPr="00DE680A">
        <w:rPr>
          <w:rFonts w:cs="Arial"/>
          <w:szCs w:val="20"/>
        </w:rPr>
        <w:t>.</w:t>
      </w:r>
    </w:p>
    <w:p w14:paraId="147602EC" w14:textId="77777777" w:rsidR="00B55AEC" w:rsidRDefault="00B55AEC" w:rsidP="00B55AEC">
      <w:pPr>
        <w:rPr>
          <w:iCs/>
        </w:rPr>
      </w:pPr>
    </w:p>
    <w:p w14:paraId="0E5ADACC" w14:textId="77777777" w:rsidR="00B55AEC" w:rsidRDefault="00B55AEC" w:rsidP="00B55AEC">
      <w:pPr>
        <w:rPr>
          <w:rFonts w:cs="Arial"/>
          <w:szCs w:val="20"/>
        </w:rPr>
      </w:pPr>
      <w:r w:rsidRPr="007C2707">
        <w:rPr>
          <w:szCs w:val="22"/>
        </w:rPr>
        <w:t xml:space="preserve">Subsection </w:t>
      </w:r>
      <w:r w:rsidRPr="007C2707">
        <w:rPr>
          <w:iCs/>
          <w:szCs w:val="22"/>
        </w:rPr>
        <w:t>2.7.1—13</w:t>
      </w:r>
      <w:r>
        <w:rPr>
          <w:szCs w:val="22"/>
        </w:rPr>
        <w:t xml:space="preserve">(11) </w:t>
      </w:r>
      <w:r w:rsidRPr="00DE680A">
        <w:rPr>
          <w:rFonts w:cs="Arial"/>
          <w:szCs w:val="20"/>
        </w:rPr>
        <w:t xml:space="preserve">prescribes the format of the </w:t>
      </w:r>
      <w:r>
        <w:rPr>
          <w:rFonts w:cs="Arial"/>
          <w:szCs w:val="20"/>
        </w:rPr>
        <w:t>statement</w:t>
      </w:r>
      <w:r w:rsidRPr="00DE680A">
        <w:rPr>
          <w:rFonts w:cs="Arial"/>
          <w:szCs w:val="20"/>
        </w:rPr>
        <w:t xml:space="preserve"> </w:t>
      </w:r>
      <w:r>
        <w:rPr>
          <w:rFonts w:eastAsiaTheme="minorHAnsi"/>
          <w:szCs w:val="20"/>
        </w:rPr>
        <w:t xml:space="preserve">of the </w:t>
      </w:r>
      <w:r w:rsidRPr="00012DB3">
        <w:t xml:space="preserve">pregnancy warning </w:t>
      </w:r>
      <w:r>
        <w:t xml:space="preserve">mark </w:t>
      </w:r>
      <w:r w:rsidRPr="00DE680A">
        <w:rPr>
          <w:rFonts w:cs="Arial"/>
          <w:szCs w:val="20"/>
        </w:rPr>
        <w:t>(for example, colour, typography, English language</w:t>
      </w:r>
      <w:r>
        <w:rPr>
          <w:rFonts w:cs="Arial"/>
          <w:szCs w:val="20"/>
        </w:rPr>
        <w:t>)</w:t>
      </w:r>
      <w:r w:rsidRPr="00DE680A">
        <w:rPr>
          <w:rFonts w:cs="Arial"/>
          <w:szCs w:val="20"/>
        </w:rPr>
        <w:t>.</w:t>
      </w:r>
    </w:p>
    <w:p w14:paraId="4E888D64" w14:textId="77777777" w:rsidR="00B55AEC" w:rsidRDefault="00B55AEC" w:rsidP="00B55AEC">
      <w:pPr>
        <w:rPr>
          <w:rFonts w:cs="Arial"/>
          <w:szCs w:val="20"/>
        </w:rPr>
      </w:pPr>
    </w:p>
    <w:p w14:paraId="67A50187" w14:textId="77777777" w:rsidR="00B55AEC" w:rsidRDefault="00B55AEC" w:rsidP="00B55AEC">
      <w:pPr>
        <w:rPr>
          <w:iCs/>
        </w:rPr>
      </w:pPr>
      <w:r w:rsidRPr="007C2707">
        <w:rPr>
          <w:szCs w:val="22"/>
        </w:rPr>
        <w:t xml:space="preserve">Subsection </w:t>
      </w:r>
      <w:r w:rsidRPr="007C2707">
        <w:rPr>
          <w:iCs/>
          <w:szCs w:val="22"/>
        </w:rPr>
        <w:t>2.7.1—13</w:t>
      </w:r>
      <w:r>
        <w:rPr>
          <w:szCs w:val="22"/>
        </w:rPr>
        <w:t>(12</w:t>
      </w:r>
      <w:r w:rsidRPr="007C2707">
        <w:rPr>
          <w:szCs w:val="22"/>
        </w:rPr>
        <w:t xml:space="preserve">) </w:t>
      </w:r>
      <w:r>
        <w:rPr>
          <w:szCs w:val="22"/>
        </w:rPr>
        <w:t xml:space="preserve">requires that </w:t>
      </w:r>
      <w:r>
        <w:t>the</w:t>
      </w:r>
      <w:r w:rsidRPr="000176AF">
        <w:t xml:space="preserve"> </w:t>
      </w:r>
      <w:r>
        <w:t xml:space="preserve">border of the </w:t>
      </w:r>
      <w:r w:rsidRPr="00037493">
        <w:t xml:space="preserve">pregnancy warning </w:t>
      </w:r>
      <w:r>
        <w:t>mark</w:t>
      </w:r>
      <w:r w:rsidRPr="000176AF">
        <w:t xml:space="preserve"> </w:t>
      </w:r>
      <w:r>
        <w:t xml:space="preserve">must be </w:t>
      </w:r>
      <w:r w:rsidRPr="000176AF">
        <w:rPr>
          <w:szCs w:val="20"/>
        </w:rPr>
        <w:t xml:space="preserve">in the colour </w:t>
      </w:r>
      <w:r>
        <w:rPr>
          <w:szCs w:val="20"/>
        </w:rPr>
        <w:t>black.</w:t>
      </w:r>
    </w:p>
    <w:p w14:paraId="40388DD5" w14:textId="77777777" w:rsidR="00B55AEC" w:rsidRDefault="00B55AEC" w:rsidP="00B55AEC">
      <w:pPr>
        <w:rPr>
          <w:iCs/>
        </w:rPr>
      </w:pPr>
    </w:p>
    <w:p w14:paraId="54A5EC89" w14:textId="77777777" w:rsidR="00B55AEC" w:rsidRDefault="00B55AEC" w:rsidP="00B55AEC">
      <w:pPr>
        <w:rPr>
          <w:szCs w:val="20"/>
        </w:rPr>
      </w:pPr>
      <w:r w:rsidRPr="007C2707">
        <w:rPr>
          <w:szCs w:val="22"/>
        </w:rPr>
        <w:t xml:space="preserve">Subsection </w:t>
      </w:r>
      <w:r w:rsidRPr="007C2707">
        <w:rPr>
          <w:iCs/>
          <w:szCs w:val="22"/>
        </w:rPr>
        <w:t>2.7.1—13</w:t>
      </w:r>
      <w:r>
        <w:rPr>
          <w:szCs w:val="22"/>
        </w:rPr>
        <w:t>(13</w:t>
      </w:r>
      <w:r w:rsidRPr="007C2707">
        <w:rPr>
          <w:szCs w:val="22"/>
        </w:rPr>
        <w:t xml:space="preserve">) </w:t>
      </w:r>
      <w:r>
        <w:rPr>
          <w:szCs w:val="22"/>
        </w:rPr>
        <w:t xml:space="preserve">requires that </w:t>
      </w:r>
      <w:r>
        <w:t xml:space="preserve">the </w:t>
      </w:r>
      <w:r w:rsidRPr="00DC4538">
        <w:t xml:space="preserve">pregnancy </w:t>
      </w:r>
      <w:r w:rsidRPr="00A36CAE">
        <w:t>warning mark</w:t>
      </w:r>
      <w:r w:rsidRPr="00DC4538">
        <w:t xml:space="preserve"> </w:t>
      </w:r>
      <w:r>
        <w:t xml:space="preserve">must </w:t>
      </w:r>
      <w:r w:rsidRPr="00DC4538">
        <w:t xml:space="preserve">be displayed on the package with </w:t>
      </w:r>
      <w:r w:rsidRPr="00DC4538">
        <w:rPr>
          <w:szCs w:val="20"/>
        </w:rPr>
        <w:t>a clear space that:</w:t>
      </w:r>
      <w:r>
        <w:rPr>
          <w:szCs w:val="20"/>
        </w:rPr>
        <w:t xml:space="preserve"> </w:t>
      </w:r>
      <w:r w:rsidRPr="00DC4538">
        <w:rPr>
          <w:szCs w:val="20"/>
        </w:rPr>
        <w:t xml:space="preserve">surrounds the outside of the border of the </w:t>
      </w:r>
      <w:r w:rsidRPr="00DC4538">
        <w:t>pregnancy warning mark</w:t>
      </w:r>
      <w:r w:rsidRPr="00DC4538">
        <w:rPr>
          <w:szCs w:val="20"/>
        </w:rPr>
        <w:t>; and</w:t>
      </w:r>
      <w:r>
        <w:rPr>
          <w:szCs w:val="20"/>
        </w:rPr>
        <w:t xml:space="preserve"> is at least 3 </w:t>
      </w:r>
      <w:r w:rsidRPr="00DE680A">
        <w:rPr>
          <w:rFonts w:cs="Arial"/>
          <w:szCs w:val="20"/>
        </w:rPr>
        <w:t>millimetres</w:t>
      </w:r>
      <w:r w:rsidRPr="00DC4538">
        <w:rPr>
          <w:szCs w:val="20"/>
        </w:rPr>
        <w:t xml:space="preserve"> in width</w:t>
      </w:r>
      <w:r>
        <w:rPr>
          <w:szCs w:val="20"/>
        </w:rPr>
        <w:t>.</w:t>
      </w:r>
    </w:p>
    <w:p w14:paraId="7C701A88" w14:textId="77777777" w:rsidR="00B55AEC" w:rsidRDefault="00B55AEC" w:rsidP="00B55AEC">
      <w:pPr>
        <w:rPr>
          <w:szCs w:val="20"/>
        </w:rPr>
      </w:pPr>
    </w:p>
    <w:p w14:paraId="73B6E0A5" w14:textId="77777777" w:rsidR="00B55AEC" w:rsidRDefault="00B55AEC" w:rsidP="00B55AEC">
      <w:r w:rsidRPr="007C2707">
        <w:rPr>
          <w:szCs w:val="22"/>
        </w:rPr>
        <w:t xml:space="preserve">Subsection </w:t>
      </w:r>
      <w:r w:rsidRPr="007C2707">
        <w:rPr>
          <w:iCs/>
          <w:szCs w:val="22"/>
        </w:rPr>
        <w:t>2.7.1—13</w:t>
      </w:r>
      <w:r>
        <w:rPr>
          <w:szCs w:val="22"/>
        </w:rPr>
        <w:t>(14</w:t>
      </w:r>
      <w:r w:rsidRPr="007C2707">
        <w:rPr>
          <w:szCs w:val="22"/>
        </w:rPr>
        <w:t xml:space="preserve">) </w:t>
      </w:r>
      <w:r>
        <w:rPr>
          <w:szCs w:val="22"/>
        </w:rPr>
        <w:t xml:space="preserve">requires that </w:t>
      </w:r>
      <w:r>
        <w:t xml:space="preserve">the </w:t>
      </w:r>
      <w:r w:rsidRPr="00CC4E5A">
        <w:t xml:space="preserve">pregnancy warning </w:t>
      </w:r>
      <w:r>
        <w:t>mark</w:t>
      </w:r>
      <w:r w:rsidRPr="00CC4E5A">
        <w:t xml:space="preserve"> must be displayed as a </w:t>
      </w:r>
      <w:r w:rsidRPr="00CC4E5A">
        <w:lastRenderedPageBreak/>
        <w:t>whole and without modification</w:t>
      </w:r>
      <w:r>
        <w:t>.</w:t>
      </w:r>
    </w:p>
    <w:p w14:paraId="49D502EA" w14:textId="77777777" w:rsidR="00B55AEC" w:rsidRDefault="00B55AEC" w:rsidP="00B55AEC"/>
    <w:p w14:paraId="0BDDB748" w14:textId="6B981790" w:rsidR="00B55AEC" w:rsidRDefault="00B55AEC" w:rsidP="00B55AEC">
      <w:pPr>
        <w:rPr>
          <w:iCs/>
        </w:rPr>
      </w:pPr>
      <w:r w:rsidRPr="007C2707">
        <w:rPr>
          <w:szCs w:val="22"/>
        </w:rPr>
        <w:t xml:space="preserve">Subsection </w:t>
      </w:r>
      <w:r w:rsidRPr="007C2707">
        <w:rPr>
          <w:iCs/>
          <w:szCs w:val="22"/>
        </w:rPr>
        <w:t>2.7.1—13</w:t>
      </w:r>
      <w:r>
        <w:rPr>
          <w:szCs w:val="22"/>
        </w:rPr>
        <w:t>(1</w:t>
      </w:r>
      <w:r w:rsidR="0059646E">
        <w:rPr>
          <w:szCs w:val="22"/>
        </w:rPr>
        <w:t>5</w:t>
      </w:r>
      <w:r w:rsidRPr="007C2707">
        <w:rPr>
          <w:szCs w:val="22"/>
        </w:rPr>
        <w:t>)</w:t>
      </w:r>
      <w:r>
        <w:rPr>
          <w:szCs w:val="22"/>
        </w:rPr>
        <w:t xml:space="preserve"> defines the </w:t>
      </w:r>
      <w:r>
        <w:t>term</w:t>
      </w:r>
      <w:r w:rsidRPr="004B7257">
        <w:rPr>
          <w:szCs w:val="20"/>
        </w:rPr>
        <w:t xml:space="preserve"> </w:t>
      </w:r>
      <w:r w:rsidRPr="00FA37D0">
        <w:rPr>
          <w:szCs w:val="20"/>
        </w:rPr>
        <w:t>‘</w:t>
      </w:r>
      <w:r w:rsidRPr="007A07ED">
        <w:rPr>
          <w:szCs w:val="20"/>
        </w:rPr>
        <w:t xml:space="preserve">post-print (flexographic) </w:t>
      </w:r>
      <w:r w:rsidRPr="007A07ED">
        <w:rPr>
          <w:rFonts w:eastAsiaTheme="minorHAnsi"/>
          <w:szCs w:val="20"/>
        </w:rPr>
        <w:t>printing process’</w:t>
      </w:r>
      <w:r>
        <w:rPr>
          <w:rFonts w:eastAsiaTheme="minorHAnsi"/>
          <w:szCs w:val="20"/>
        </w:rPr>
        <w:t xml:space="preserve"> used in paragraph </w:t>
      </w:r>
      <w:r w:rsidRPr="007C2707">
        <w:rPr>
          <w:iCs/>
          <w:szCs w:val="22"/>
        </w:rPr>
        <w:t>2.7.1—13</w:t>
      </w:r>
      <w:r>
        <w:rPr>
          <w:szCs w:val="22"/>
        </w:rPr>
        <w:t>(1</w:t>
      </w:r>
      <w:r w:rsidRPr="007C2707">
        <w:rPr>
          <w:szCs w:val="22"/>
        </w:rPr>
        <w:t>)</w:t>
      </w:r>
      <w:r>
        <w:rPr>
          <w:szCs w:val="22"/>
        </w:rPr>
        <w:t xml:space="preserve"> </w:t>
      </w:r>
      <w:r>
        <w:rPr>
          <w:rFonts w:eastAsiaTheme="minorHAnsi"/>
          <w:szCs w:val="20"/>
        </w:rPr>
        <w:t xml:space="preserve">to mean </w:t>
      </w:r>
      <w:r w:rsidRPr="008B5BEF">
        <w:rPr>
          <w:rFonts w:eastAsiaTheme="minorHAnsi"/>
          <w:szCs w:val="20"/>
        </w:rPr>
        <w:t xml:space="preserve">the </w:t>
      </w:r>
      <w:r>
        <w:rPr>
          <w:rFonts w:eastAsiaTheme="minorHAnsi"/>
          <w:szCs w:val="20"/>
        </w:rPr>
        <w:t xml:space="preserve">process by which a </w:t>
      </w:r>
      <w:r w:rsidRPr="008B5BEF">
        <w:rPr>
          <w:rFonts w:eastAsiaTheme="minorHAnsi"/>
          <w:szCs w:val="20"/>
        </w:rPr>
        <w:t>pregnancy warning mark is printed directly on to the out</w:t>
      </w:r>
      <w:r>
        <w:rPr>
          <w:rFonts w:eastAsiaTheme="minorHAnsi"/>
          <w:szCs w:val="20"/>
        </w:rPr>
        <w:t>side</w:t>
      </w:r>
      <w:r w:rsidRPr="008B5BEF">
        <w:rPr>
          <w:rFonts w:eastAsiaTheme="minorHAnsi"/>
          <w:szCs w:val="20"/>
        </w:rPr>
        <w:t xml:space="preserve"> liner of corrugated cardboard packaging using flexible raised image printing plates.</w:t>
      </w:r>
    </w:p>
    <w:p w14:paraId="53CD0AB0" w14:textId="77777777" w:rsidR="00B55AEC" w:rsidRDefault="00B55AEC" w:rsidP="00B55AEC"/>
    <w:p w14:paraId="7C1FF15A" w14:textId="77777777" w:rsidR="00B55AEC" w:rsidRPr="00DE680A" w:rsidRDefault="00B55AEC" w:rsidP="00B55AEC">
      <w:pPr>
        <w:rPr>
          <w:b/>
          <w:i/>
        </w:rPr>
      </w:pPr>
      <w:r w:rsidRPr="00DE680A">
        <w:rPr>
          <w:b/>
          <w:i/>
        </w:rPr>
        <w:t>Transitional arrangements</w:t>
      </w:r>
    </w:p>
    <w:p w14:paraId="707B0DB7" w14:textId="77777777" w:rsidR="00B55AEC" w:rsidRPr="00DE680A" w:rsidRDefault="00B55AEC" w:rsidP="00B55AEC"/>
    <w:p w14:paraId="3BCA27C8" w14:textId="77777777" w:rsidR="00B55AEC" w:rsidRPr="00DE680A" w:rsidRDefault="00B55AEC" w:rsidP="00B55AEC">
      <w:pPr>
        <w:rPr>
          <w:lang w:val="en-AU" w:eastAsia="en-GB" w:bidi="ar-SA"/>
        </w:rPr>
      </w:pPr>
      <w:r w:rsidRPr="00DE680A">
        <w:rPr>
          <w:lang w:val="en-AU" w:eastAsia="en-GB" w:bidi="ar-SA"/>
        </w:rPr>
        <w:t>The above variation will commence or take effect on the date of gazettal. See clause 3 of the instrument of variation.</w:t>
      </w:r>
    </w:p>
    <w:p w14:paraId="5564F8B3" w14:textId="77777777" w:rsidR="00B55AEC" w:rsidRPr="00DE680A" w:rsidRDefault="00B55AEC" w:rsidP="00B55AEC"/>
    <w:p w14:paraId="1DA5CB16" w14:textId="77777777" w:rsidR="00B55AEC" w:rsidRPr="00DE680A" w:rsidRDefault="00B55AEC" w:rsidP="00B55AEC">
      <w:r w:rsidRPr="00DE680A">
        <w:t>The stock-in-trade exemption provided by section 1.1.1—9 of Standard 1.1.1 will not apply to the above variation. See clause 4 of the instrument of variation.</w:t>
      </w:r>
    </w:p>
    <w:p w14:paraId="7C6CDF95" w14:textId="77777777" w:rsidR="00B55AEC" w:rsidRPr="00DE680A" w:rsidRDefault="00B55AEC" w:rsidP="00B55AEC">
      <w:pPr>
        <w:rPr>
          <w:lang w:val="en-AU" w:eastAsia="en-GB" w:bidi="ar-SA"/>
        </w:rPr>
      </w:pPr>
    </w:p>
    <w:p w14:paraId="77CA5A1A" w14:textId="237C8A78" w:rsidR="00B55AEC" w:rsidRDefault="00B55AEC" w:rsidP="00B55AEC">
      <w:pPr>
        <w:rPr>
          <w:lang w:val="en-AU" w:eastAsia="en-GB" w:bidi="ar-SA"/>
        </w:rPr>
      </w:pPr>
      <w:r w:rsidRPr="00DE680A">
        <w:rPr>
          <w:lang w:val="en-AU" w:eastAsia="en-GB" w:bidi="ar-SA"/>
        </w:rPr>
        <w:t xml:space="preserve">Clause 4 provides </w:t>
      </w:r>
      <w:r>
        <w:rPr>
          <w:lang w:val="en-AU" w:eastAsia="en-GB" w:bidi="ar-SA"/>
        </w:rPr>
        <w:t xml:space="preserve">two </w:t>
      </w:r>
      <w:r w:rsidRPr="00DE680A">
        <w:rPr>
          <w:lang w:val="en-AU" w:eastAsia="en-GB" w:bidi="ar-SA"/>
        </w:rPr>
        <w:t>transitional arrangements</w:t>
      </w:r>
      <w:r>
        <w:rPr>
          <w:lang w:val="en-AU" w:eastAsia="en-GB" w:bidi="ar-SA"/>
        </w:rPr>
        <w:t xml:space="preserve"> for a </w:t>
      </w:r>
      <w:r w:rsidRPr="006A0C2F">
        <w:t>prescribed alcoholic beverage</w:t>
      </w:r>
      <w:r w:rsidR="005A0B71">
        <w:t xml:space="preserve"> that is required </w:t>
      </w:r>
      <w:r w:rsidR="005A0B71" w:rsidRPr="004E0480">
        <w:t>by subsection 2.7.1—10(1) of the Code to display a pregnancy warning mark on its outer package</w:t>
      </w:r>
      <w:r w:rsidR="005A0B71">
        <w:t>; and</w:t>
      </w:r>
      <w:r w:rsidR="005A0B71" w:rsidDel="005A0B71">
        <w:t xml:space="preserve"> </w:t>
      </w:r>
      <w:r>
        <w:t xml:space="preserve">to which subsection </w:t>
      </w:r>
      <w:r>
        <w:rPr>
          <w:lang w:val="en-AU" w:eastAsia="en-GB" w:bidi="ar-SA"/>
        </w:rPr>
        <w:t xml:space="preserve">2.7.1—13 (2) applies. </w:t>
      </w:r>
    </w:p>
    <w:p w14:paraId="6A6F3799" w14:textId="5981ADD3" w:rsidR="005A0B71" w:rsidRDefault="005A0B71" w:rsidP="00B55AEC">
      <w:pPr>
        <w:rPr>
          <w:lang w:val="en-AU" w:eastAsia="en-GB" w:bidi="ar-SA"/>
        </w:rPr>
      </w:pPr>
    </w:p>
    <w:p w14:paraId="07C52DA5" w14:textId="77777777" w:rsidR="00B55AEC" w:rsidRDefault="00B55AEC" w:rsidP="00B55AEC">
      <w:pPr>
        <w:rPr>
          <w:lang w:val="en-AU" w:eastAsia="en-GB" w:bidi="ar-SA"/>
        </w:rPr>
      </w:pPr>
      <w:bookmarkStart w:id="116" w:name="_Hlk113523351"/>
      <w:r>
        <w:rPr>
          <w:lang w:val="en-AU" w:eastAsia="en-GB" w:bidi="ar-SA"/>
        </w:rPr>
        <w:t>There is an initial</w:t>
      </w:r>
      <w:r w:rsidRPr="00DE680A">
        <w:rPr>
          <w:lang w:val="en-AU" w:eastAsia="en-GB" w:bidi="ar-SA"/>
        </w:rPr>
        <w:t xml:space="preserve"> transitional arrangement commencing on the date of gazettal</w:t>
      </w:r>
      <w:r>
        <w:rPr>
          <w:lang w:val="en-AU" w:eastAsia="en-GB" w:bidi="ar-SA"/>
        </w:rPr>
        <w:t xml:space="preserve"> and ending on 1</w:t>
      </w:r>
      <w:r w:rsidRPr="00436078">
        <w:rPr>
          <w:vertAlign w:val="superscript"/>
          <w:lang w:val="en-AU" w:eastAsia="en-GB" w:bidi="ar-SA"/>
        </w:rPr>
        <w:t>st</w:t>
      </w:r>
      <w:r>
        <w:rPr>
          <w:lang w:val="en-AU" w:eastAsia="en-GB" w:bidi="ar-SA"/>
        </w:rPr>
        <w:t xml:space="preserve"> February 2024. During this period, the </w:t>
      </w:r>
      <w:r w:rsidRPr="006A0C2F">
        <w:t>prescribed alcoholic beverage</w:t>
      </w:r>
      <w:r>
        <w:t xml:space="preserve"> </w:t>
      </w:r>
      <w:r>
        <w:rPr>
          <w:lang w:val="en-AU" w:eastAsia="en-GB" w:bidi="ar-SA"/>
        </w:rPr>
        <w:t>can</w:t>
      </w:r>
      <w:r w:rsidRPr="00DE680A">
        <w:rPr>
          <w:lang w:val="en-AU" w:eastAsia="en-GB" w:bidi="ar-SA"/>
        </w:rPr>
        <w:t xml:space="preserve"> be sold if </w:t>
      </w:r>
      <w:r>
        <w:rPr>
          <w:lang w:val="en-AU" w:eastAsia="en-GB" w:bidi="ar-SA"/>
        </w:rPr>
        <w:t xml:space="preserve">the product </w:t>
      </w:r>
      <w:r w:rsidRPr="00DE680A">
        <w:rPr>
          <w:lang w:val="en-AU" w:eastAsia="en-GB" w:bidi="ar-SA"/>
        </w:rPr>
        <w:t>complies with</w:t>
      </w:r>
      <w:r>
        <w:rPr>
          <w:lang w:val="en-AU" w:eastAsia="en-GB" w:bidi="ar-SA"/>
        </w:rPr>
        <w:t xml:space="preserve"> </w:t>
      </w:r>
      <w:r w:rsidRPr="006C3D94">
        <w:rPr>
          <w:lang w:val="en-AU" w:eastAsia="en-GB" w:bidi="ar-SA"/>
        </w:rPr>
        <w:t>either</w:t>
      </w:r>
      <w:r>
        <w:rPr>
          <w:lang w:val="en-AU" w:eastAsia="en-GB" w:bidi="ar-SA"/>
        </w:rPr>
        <w:t>:</w:t>
      </w:r>
    </w:p>
    <w:p w14:paraId="3274CFA2" w14:textId="77777777" w:rsidR="00B55AEC" w:rsidRDefault="00B55AEC" w:rsidP="00B55AEC">
      <w:pPr>
        <w:rPr>
          <w:lang w:val="en-AU" w:eastAsia="en-GB" w:bidi="ar-SA"/>
        </w:rPr>
      </w:pPr>
    </w:p>
    <w:p w14:paraId="464E58A3" w14:textId="36BD2311" w:rsidR="00B55AEC" w:rsidRDefault="00B55AEC" w:rsidP="00FA3085">
      <w:pPr>
        <w:pStyle w:val="ListParagraph"/>
        <w:numPr>
          <w:ilvl w:val="0"/>
          <w:numId w:val="13"/>
        </w:numPr>
        <w:ind w:left="567" w:hanging="567"/>
        <w:rPr>
          <w:lang w:val="en-AU" w:eastAsia="en-GB"/>
        </w:rPr>
      </w:pPr>
      <w:r w:rsidRPr="006C3D94">
        <w:rPr>
          <w:lang w:val="en-AU" w:eastAsia="en-GB"/>
        </w:rPr>
        <w:t>the Code as in force without the amendments made</w:t>
      </w:r>
      <w:r>
        <w:rPr>
          <w:lang w:val="en-AU" w:eastAsia="en-GB"/>
        </w:rPr>
        <w:t xml:space="preserve"> by</w:t>
      </w:r>
      <w:r w:rsidRPr="006C3D94">
        <w:rPr>
          <w:lang w:val="en-AU" w:eastAsia="en-GB"/>
        </w:rPr>
        <w:t xml:space="preserve"> </w:t>
      </w:r>
      <w:r>
        <w:rPr>
          <w:lang w:val="en-AU" w:eastAsia="en-GB"/>
        </w:rPr>
        <w:t xml:space="preserve">both the draft variation and the variations made by the </w:t>
      </w:r>
      <w:r w:rsidRPr="002A6C15">
        <w:rPr>
          <w:i/>
          <w:iCs/>
          <w:lang w:val="en-AU" w:eastAsia="en-GB"/>
        </w:rPr>
        <w:t>Food Standards (Proposal P1050 – Pregnancy warning labels on alcoholic beverages) Variation</w:t>
      </w:r>
      <w:r w:rsidRPr="006C3D94">
        <w:rPr>
          <w:lang w:val="en-AU" w:eastAsia="en-GB"/>
        </w:rPr>
        <w:t xml:space="preserve">; or </w:t>
      </w:r>
    </w:p>
    <w:p w14:paraId="46AB3670" w14:textId="47C21883" w:rsidR="00B55AEC" w:rsidRDefault="00B55AEC" w:rsidP="00FA3085">
      <w:pPr>
        <w:pStyle w:val="ListParagraph"/>
        <w:numPr>
          <w:ilvl w:val="0"/>
          <w:numId w:val="13"/>
        </w:numPr>
        <w:ind w:left="567" w:hanging="567"/>
        <w:rPr>
          <w:lang w:val="en-AU" w:eastAsia="en-GB"/>
        </w:rPr>
      </w:pPr>
      <w:r w:rsidRPr="006C3D94">
        <w:rPr>
          <w:lang w:val="en-AU" w:eastAsia="en-GB"/>
        </w:rPr>
        <w:t xml:space="preserve">the Code </w:t>
      </w:r>
      <w:r>
        <w:rPr>
          <w:lang w:val="en-AU" w:eastAsia="en-GB"/>
        </w:rPr>
        <w:t xml:space="preserve">as in force and as amended </w:t>
      </w:r>
      <w:r w:rsidRPr="006C3D94">
        <w:rPr>
          <w:lang w:val="en-AU" w:eastAsia="en-GB"/>
        </w:rPr>
        <w:t xml:space="preserve">by </w:t>
      </w:r>
      <w:r>
        <w:rPr>
          <w:lang w:val="en-AU" w:eastAsia="en-GB"/>
        </w:rPr>
        <w:t xml:space="preserve">both the draft variation and the variations made by the </w:t>
      </w:r>
      <w:r w:rsidRPr="002A6C15">
        <w:rPr>
          <w:i/>
          <w:iCs/>
          <w:lang w:val="en-AU" w:eastAsia="en-GB"/>
        </w:rPr>
        <w:t>Food Standards (Proposal P1050 – Pregnancy warning labels on alcoholic beverages) Variation</w:t>
      </w:r>
      <w:r>
        <w:rPr>
          <w:lang w:val="en-AU" w:eastAsia="en-GB"/>
        </w:rPr>
        <w:t>.</w:t>
      </w:r>
    </w:p>
    <w:p w14:paraId="31543CA2" w14:textId="77777777" w:rsidR="00B55AEC" w:rsidRDefault="00B55AEC" w:rsidP="00B55AEC">
      <w:pPr>
        <w:rPr>
          <w:lang w:val="en-AU" w:eastAsia="en-GB"/>
        </w:rPr>
      </w:pPr>
    </w:p>
    <w:p w14:paraId="07A6D372" w14:textId="77777777" w:rsidR="00B55AEC" w:rsidRDefault="00B55AEC" w:rsidP="00B55AEC">
      <w:pPr>
        <w:rPr>
          <w:lang w:val="en-AU" w:eastAsia="en-GB" w:bidi="ar-SA"/>
        </w:rPr>
      </w:pPr>
      <w:r>
        <w:rPr>
          <w:lang w:val="en-AU" w:eastAsia="en-GB" w:bidi="ar-SA"/>
        </w:rPr>
        <w:t>There is a second</w:t>
      </w:r>
      <w:r w:rsidRPr="00DE680A">
        <w:rPr>
          <w:lang w:val="en-AU" w:eastAsia="en-GB" w:bidi="ar-SA"/>
        </w:rPr>
        <w:t xml:space="preserve"> transitional arrangement </w:t>
      </w:r>
      <w:r>
        <w:rPr>
          <w:lang w:val="en-AU" w:eastAsia="en-GB" w:bidi="ar-SA"/>
        </w:rPr>
        <w:t xml:space="preserve">commencing on and from 2 February 2024 in which the </w:t>
      </w:r>
      <w:r w:rsidRPr="00DE680A">
        <w:rPr>
          <w:lang w:val="en-AU" w:eastAsia="en-GB" w:bidi="ar-SA"/>
        </w:rPr>
        <w:t>prescribed alcoholic beverage</w:t>
      </w:r>
      <w:r>
        <w:rPr>
          <w:lang w:val="en-AU" w:eastAsia="en-GB" w:bidi="ar-SA"/>
        </w:rPr>
        <w:t xml:space="preserve"> can be sold if</w:t>
      </w:r>
      <w:r w:rsidRPr="00DE680A">
        <w:rPr>
          <w:lang w:val="en-AU" w:eastAsia="en-GB" w:bidi="ar-SA"/>
        </w:rPr>
        <w:t xml:space="preserve"> </w:t>
      </w:r>
      <w:r>
        <w:rPr>
          <w:lang w:val="en-AU" w:eastAsia="en-GB" w:bidi="ar-SA"/>
        </w:rPr>
        <w:t>the product:</w:t>
      </w:r>
    </w:p>
    <w:p w14:paraId="260A5F8F" w14:textId="77777777" w:rsidR="00B55AEC" w:rsidRDefault="00B55AEC" w:rsidP="00B55AEC">
      <w:pPr>
        <w:rPr>
          <w:lang w:val="en-AU" w:eastAsia="en-GB" w:bidi="ar-SA"/>
        </w:rPr>
      </w:pPr>
    </w:p>
    <w:p w14:paraId="7700ABB1" w14:textId="7C332BC8" w:rsidR="00B55AEC" w:rsidRDefault="00B55AEC" w:rsidP="00FA3085">
      <w:pPr>
        <w:pStyle w:val="ListParagraph"/>
        <w:numPr>
          <w:ilvl w:val="0"/>
          <w:numId w:val="13"/>
        </w:numPr>
        <w:ind w:left="567" w:hanging="567"/>
        <w:rPr>
          <w:lang w:val="en-AU" w:eastAsia="en-GB"/>
        </w:rPr>
      </w:pPr>
      <w:r w:rsidRPr="00DE680A">
        <w:rPr>
          <w:lang w:val="en-AU" w:eastAsia="en-GB"/>
        </w:rPr>
        <w:t>complies with</w:t>
      </w:r>
      <w:r>
        <w:rPr>
          <w:lang w:val="en-AU" w:eastAsia="en-GB"/>
        </w:rPr>
        <w:t xml:space="preserve"> </w:t>
      </w:r>
      <w:r w:rsidRPr="006C3D94">
        <w:rPr>
          <w:lang w:val="en-AU" w:eastAsia="en-GB"/>
        </w:rPr>
        <w:t xml:space="preserve">the Code </w:t>
      </w:r>
      <w:r>
        <w:rPr>
          <w:lang w:val="en-AU" w:eastAsia="en-GB"/>
        </w:rPr>
        <w:t>as in force and as amended by</w:t>
      </w:r>
      <w:r w:rsidRPr="006C3D94">
        <w:rPr>
          <w:lang w:val="en-AU" w:eastAsia="en-GB"/>
        </w:rPr>
        <w:t xml:space="preserve"> </w:t>
      </w:r>
      <w:r>
        <w:rPr>
          <w:lang w:val="en-AU" w:eastAsia="en-GB"/>
        </w:rPr>
        <w:t xml:space="preserve">both the draft variation and the variations made by the </w:t>
      </w:r>
      <w:r w:rsidRPr="002A6C15">
        <w:rPr>
          <w:i/>
          <w:iCs/>
          <w:lang w:val="en-AU" w:eastAsia="en-GB"/>
        </w:rPr>
        <w:t>Food Standards (Proposal P1050 – Pregnancy warning labels on alcoholic beverages) Variation</w:t>
      </w:r>
      <w:r w:rsidRPr="006C3D94">
        <w:rPr>
          <w:lang w:val="en-AU" w:eastAsia="en-GB"/>
        </w:rPr>
        <w:t xml:space="preserve">; or </w:t>
      </w:r>
    </w:p>
    <w:p w14:paraId="6FC78EB9" w14:textId="77777777" w:rsidR="00B55AEC" w:rsidRDefault="00B55AEC" w:rsidP="00FA3085">
      <w:pPr>
        <w:pStyle w:val="ListParagraph"/>
        <w:numPr>
          <w:ilvl w:val="0"/>
          <w:numId w:val="13"/>
        </w:numPr>
        <w:ind w:left="567" w:hanging="567"/>
        <w:rPr>
          <w:lang w:val="en-AU" w:eastAsia="en-GB"/>
        </w:rPr>
      </w:pPr>
      <w:r>
        <w:rPr>
          <w:lang w:val="en-AU" w:eastAsia="en-GB"/>
        </w:rPr>
        <w:t xml:space="preserve">was packaged and labelled before 2 February 2024 and the </w:t>
      </w:r>
      <w:r w:rsidRPr="00010889">
        <w:t xml:space="preserve">labelling on its outer package complies with the Code as in force without </w:t>
      </w:r>
      <w:r>
        <w:t xml:space="preserve">the </w:t>
      </w:r>
      <w:r w:rsidRPr="00010889">
        <w:t>amendments</w:t>
      </w:r>
      <w:r>
        <w:rPr>
          <w:lang w:val="en-AU" w:eastAsia="en-GB"/>
        </w:rPr>
        <w:t xml:space="preserve"> by</w:t>
      </w:r>
      <w:r w:rsidRPr="006C3D94">
        <w:rPr>
          <w:lang w:val="en-AU" w:eastAsia="en-GB"/>
        </w:rPr>
        <w:t xml:space="preserve"> </w:t>
      </w:r>
      <w:r>
        <w:rPr>
          <w:lang w:val="en-AU" w:eastAsia="en-GB"/>
        </w:rPr>
        <w:t xml:space="preserve">both the draft variation and the variations made by the </w:t>
      </w:r>
      <w:r w:rsidRPr="002A6C15">
        <w:rPr>
          <w:i/>
          <w:iCs/>
          <w:lang w:val="en-AU" w:eastAsia="en-GB"/>
        </w:rPr>
        <w:t>Food Standards (Proposal P1050 – Pregnancy warning labels on alcoholic beverages) Variation</w:t>
      </w:r>
      <w:r>
        <w:rPr>
          <w:i/>
          <w:iCs/>
          <w:lang w:val="en-AU" w:eastAsia="en-GB"/>
        </w:rPr>
        <w:t>.</w:t>
      </w:r>
    </w:p>
    <w:bookmarkEnd w:id="116"/>
    <w:p w14:paraId="4EC2657E" w14:textId="77777777" w:rsidR="00B55AEC" w:rsidRDefault="00B55AEC" w:rsidP="00AB0275">
      <w:pPr>
        <w:rPr>
          <w:iCs/>
        </w:rPr>
      </w:pPr>
    </w:p>
    <w:p w14:paraId="600B021A" w14:textId="2B88071F" w:rsidR="007C174F" w:rsidRPr="00C401C3" w:rsidRDefault="00F66D85" w:rsidP="007C174F">
      <w:pPr>
        <w:rPr>
          <w:szCs w:val="22"/>
        </w:rPr>
      </w:pPr>
      <w:r w:rsidRPr="00C401C3">
        <w:rPr>
          <w:szCs w:val="22"/>
        </w:rPr>
        <w:t xml:space="preserve">Subclause 4(2) preserves the operation of the clause 4 of the </w:t>
      </w:r>
      <w:r w:rsidRPr="00C401C3">
        <w:rPr>
          <w:i/>
          <w:iCs/>
          <w:szCs w:val="22"/>
          <w:lang w:val="en-AU" w:eastAsia="en-GB"/>
        </w:rPr>
        <w:t xml:space="preserve">Food Standards (Proposal P1050 – Pregnancy warning labels on alcoholic beverages) Variation. </w:t>
      </w:r>
      <w:r w:rsidRPr="00C401C3">
        <w:rPr>
          <w:szCs w:val="22"/>
        </w:rPr>
        <w:t xml:space="preserve">That clause provides </w:t>
      </w:r>
      <w:r w:rsidR="00C401C3">
        <w:rPr>
          <w:szCs w:val="22"/>
        </w:rPr>
        <w:t xml:space="preserve">specific </w:t>
      </w:r>
      <w:r w:rsidRPr="00C401C3">
        <w:rPr>
          <w:szCs w:val="22"/>
        </w:rPr>
        <w:t>transitional arrangement</w:t>
      </w:r>
      <w:r w:rsidR="00C401C3">
        <w:rPr>
          <w:szCs w:val="22"/>
        </w:rPr>
        <w:t>s</w:t>
      </w:r>
      <w:r w:rsidRPr="00C401C3">
        <w:rPr>
          <w:szCs w:val="22"/>
        </w:rPr>
        <w:t xml:space="preserve">, including a stock in trade </w:t>
      </w:r>
      <w:r w:rsidR="00C401C3" w:rsidRPr="00C401C3">
        <w:rPr>
          <w:szCs w:val="22"/>
        </w:rPr>
        <w:t xml:space="preserve">provision, for prescribed alcoholic beverages, which include </w:t>
      </w:r>
      <w:r w:rsidR="00C401C3" w:rsidRPr="00C401C3">
        <w:rPr>
          <w:rFonts w:eastAsia="Calibri" w:cs="Arial"/>
          <w:szCs w:val="22"/>
        </w:rPr>
        <w:t xml:space="preserve">prescribed alcoholic beverages </w:t>
      </w:r>
      <w:r w:rsidR="00C401C3" w:rsidRPr="00C401C3">
        <w:rPr>
          <w:szCs w:val="22"/>
          <w:lang w:bidi="ar-SA"/>
        </w:rPr>
        <w:t>to which sub-clause 4(2) of the A1256 variation will apply.</w:t>
      </w:r>
    </w:p>
    <w:sectPr w:rsidR="007C174F" w:rsidRPr="00C401C3" w:rsidSect="009C4BEA">
      <w:footerReference w:type="default" r:id="rId3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DF2B" w14:textId="77777777" w:rsidR="006E5C79" w:rsidRDefault="006E5C79">
      <w:r>
        <w:separator/>
      </w:r>
    </w:p>
  </w:endnote>
  <w:endnote w:type="continuationSeparator" w:id="0">
    <w:p w14:paraId="3F3E9043" w14:textId="77777777" w:rsidR="006E5C79" w:rsidRDefault="006E5C79">
      <w:r>
        <w:continuationSeparator/>
      </w:r>
    </w:p>
  </w:endnote>
  <w:endnote w:type="continuationNotice" w:id="1">
    <w:p w14:paraId="1F21CC1A" w14:textId="77777777" w:rsidR="006E5C79" w:rsidRDefault="006E5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C8AA" w14:textId="169B0B0D" w:rsidR="005A0B71" w:rsidRDefault="005A0B71" w:rsidP="00EA1F2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3FD3F0BC" w14:textId="77777777" w:rsidR="005A0B71" w:rsidRDefault="005A0B71" w:rsidP="00471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1EA9" w14:textId="764B002B" w:rsidR="005A0B71" w:rsidRDefault="005A0B71" w:rsidP="00EA1F25">
    <w:pPr>
      <w:pStyle w:val="Footer"/>
      <w:framePr w:wrap="around" w:vAnchor="text" w:hAnchor="margin" w:xAlign="center" w:y="1"/>
      <w:jc w:val="center"/>
      <w:rPr>
        <w:rStyle w:val="PageNumber"/>
      </w:rPr>
    </w:pPr>
  </w:p>
  <w:p w14:paraId="5D25491A" w14:textId="48F1F2A6" w:rsidR="005A0B71" w:rsidRDefault="005A0B7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118C">
      <w:rPr>
        <w:rStyle w:val="PageNumber"/>
        <w:noProof/>
      </w:rPr>
      <w:t>20</w:t>
    </w:r>
    <w:r>
      <w:rPr>
        <w:rStyle w:val="PageNumber"/>
      </w:rPr>
      <w:fldChar w:fldCharType="end"/>
    </w:r>
  </w:p>
  <w:p w14:paraId="7A725836" w14:textId="77777777" w:rsidR="005A0B71" w:rsidRDefault="005A0B71" w:rsidP="00471FF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EC4F" w14:textId="77777777" w:rsidR="005A0B71" w:rsidRDefault="005A0B71" w:rsidP="00EA1F25">
    <w:pPr>
      <w:pStyle w:val="Footer"/>
      <w:framePr w:wrap="around" w:vAnchor="text" w:hAnchor="margin" w:xAlign="center" w:y="1"/>
      <w:jc w:val="center"/>
      <w:rPr>
        <w:rStyle w:val="PageNumber"/>
      </w:rPr>
    </w:pPr>
  </w:p>
  <w:p w14:paraId="75BD578E" w14:textId="0EE3A5EC" w:rsidR="005A0B71" w:rsidRDefault="005A0B7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118C">
      <w:rPr>
        <w:rStyle w:val="PageNumber"/>
        <w:noProof/>
      </w:rPr>
      <w:t>29</w:t>
    </w:r>
    <w:r>
      <w:rPr>
        <w:rStyle w:val="PageNumber"/>
      </w:rPr>
      <w:fldChar w:fldCharType="end"/>
    </w:r>
  </w:p>
  <w:p w14:paraId="7BD4E003" w14:textId="77777777" w:rsidR="005A0B71" w:rsidRDefault="005A0B71" w:rsidP="00471FF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034B1" w14:textId="77777777" w:rsidR="006E5C79" w:rsidRDefault="006E5C79">
      <w:r>
        <w:separator/>
      </w:r>
    </w:p>
  </w:footnote>
  <w:footnote w:type="continuationSeparator" w:id="0">
    <w:p w14:paraId="4FD4D812" w14:textId="77777777" w:rsidR="006E5C79" w:rsidRDefault="006E5C79">
      <w:r>
        <w:continuationSeparator/>
      </w:r>
    </w:p>
  </w:footnote>
  <w:footnote w:type="continuationNotice" w:id="1">
    <w:p w14:paraId="386F4B4A" w14:textId="77777777" w:rsidR="006E5C79" w:rsidRDefault="006E5C79"/>
  </w:footnote>
  <w:footnote w:id="2">
    <w:p w14:paraId="0B337519" w14:textId="49C59747" w:rsidR="005A0B71" w:rsidRPr="004153E7" w:rsidRDefault="005A0B71">
      <w:pPr>
        <w:pStyle w:val="FootnoteText"/>
        <w:rPr>
          <w:lang w:val="en-AU"/>
        </w:rPr>
      </w:pPr>
      <w:r>
        <w:rPr>
          <w:rStyle w:val="FootnoteReference"/>
        </w:rPr>
        <w:footnoteRef/>
      </w:r>
      <w:r>
        <w:t xml:space="preserve"> </w:t>
      </w:r>
      <w:hyperlink r:id="rId1" w:history="1">
        <w:r w:rsidRPr="00BC1327">
          <w:rPr>
            <w:rStyle w:val="Hyperlink"/>
            <w:lang w:val="en-AU"/>
          </w:rPr>
          <w:t>Proposal P1050 – Pregnancy warning labels on alcoholic beverages</w:t>
        </w:r>
      </w:hyperlink>
    </w:p>
  </w:footnote>
  <w:footnote w:id="3">
    <w:p w14:paraId="32339F36" w14:textId="09A3D699" w:rsidR="005A0B71" w:rsidRPr="00202593" w:rsidRDefault="005A0B71" w:rsidP="00E82CEA">
      <w:pPr>
        <w:pStyle w:val="FootnoteText"/>
        <w:rPr>
          <w:lang w:val="en-AU"/>
        </w:rPr>
      </w:pPr>
      <w:r>
        <w:rPr>
          <w:rStyle w:val="FootnoteReference"/>
        </w:rPr>
        <w:footnoteRef/>
      </w:r>
      <w:r>
        <w:t xml:space="preserve"> </w:t>
      </w:r>
      <w:r>
        <w:rPr>
          <w:lang w:val="en-AU"/>
        </w:rPr>
        <w:t xml:space="preserve">In the Code, a </w:t>
      </w:r>
      <w:r w:rsidRPr="00245BB0">
        <w:rPr>
          <w:i/>
          <w:iCs/>
          <w:lang w:val="en-AU"/>
        </w:rPr>
        <w:t>pregnancy warning mark</w:t>
      </w:r>
      <w:r>
        <w:rPr>
          <w:lang w:val="en-AU"/>
        </w:rPr>
        <w:t xml:space="preserve"> is </w:t>
      </w:r>
      <w:r>
        <w:t>comprised of the pregnancy warning pictogram, the signal words ’Pregnancy Warning’ and the statement ‘Alcohol can cause lifelong harm to your baby’. This term is used subsequently throughout the report.</w:t>
      </w:r>
    </w:p>
  </w:footnote>
  <w:footnote w:id="4">
    <w:p w14:paraId="36446C8B" w14:textId="50D055EE" w:rsidR="005A0B71" w:rsidRPr="009C39DD" w:rsidRDefault="005A0B71">
      <w:pPr>
        <w:pStyle w:val="FootnoteText"/>
        <w:rPr>
          <w:lang w:val="en-AU"/>
        </w:rPr>
      </w:pPr>
      <w:r>
        <w:rPr>
          <w:rStyle w:val="FootnoteReference"/>
        </w:rPr>
        <w:footnoteRef/>
      </w:r>
      <w:r>
        <w:t xml:space="preserve"> </w:t>
      </w:r>
      <w:hyperlink r:id="rId2" w:history="1">
        <w:r w:rsidRPr="00EE1FB5">
          <w:rPr>
            <w:rStyle w:val="Hyperlink"/>
            <w:lang w:val="en-AU"/>
          </w:rPr>
          <w:t>Proposal P1050 – Pregnancy warning labels on alcoholic beverages</w:t>
        </w:r>
      </w:hyperlink>
    </w:p>
  </w:footnote>
  <w:footnote w:id="5">
    <w:p w14:paraId="35837B93" w14:textId="77777777" w:rsidR="005A0B71" w:rsidRPr="005935B2" w:rsidRDefault="005A0B71" w:rsidP="00476D16">
      <w:pPr>
        <w:pStyle w:val="FootnoteText"/>
        <w:rPr>
          <w:lang w:val="en-AU"/>
        </w:rPr>
      </w:pPr>
      <w:r>
        <w:rPr>
          <w:rStyle w:val="FootnoteReference"/>
        </w:rPr>
        <w:footnoteRef/>
      </w:r>
      <w:r>
        <w:t xml:space="preserve"> </w:t>
      </w:r>
      <w:bookmarkStart w:id="24" w:name="_Hlk113180894"/>
      <w:r>
        <w:t xml:space="preserve">A post-print (flexographic) printing process means </w:t>
      </w:r>
      <w:bookmarkEnd w:id="24"/>
      <w:r w:rsidRPr="008B5BEF">
        <w:rPr>
          <w:rFonts w:eastAsiaTheme="minorHAnsi"/>
        </w:rPr>
        <w:t>the pregnancy warning mark is printed directly on to the out</w:t>
      </w:r>
      <w:r>
        <w:rPr>
          <w:rFonts w:eastAsiaTheme="minorHAnsi"/>
        </w:rPr>
        <w:t>side</w:t>
      </w:r>
      <w:r w:rsidRPr="008B5BEF">
        <w:rPr>
          <w:rFonts w:eastAsiaTheme="minorHAnsi"/>
        </w:rPr>
        <w:t xml:space="preserve"> liner of corrugated cardboard packaging using flexible raised image printing plates.</w:t>
      </w:r>
      <w:r>
        <w:t xml:space="preserve"> </w:t>
      </w:r>
    </w:p>
  </w:footnote>
  <w:footnote w:id="6">
    <w:p w14:paraId="22AF2955" w14:textId="77777777" w:rsidR="005A0B71" w:rsidRPr="00940E0D" w:rsidRDefault="005A0B71" w:rsidP="00E75CBC">
      <w:pPr>
        <w:pStyle w:val="FootnoteText"/>
        <w:rPr>
          <w:lang w:val="en-AU"/>
        </w:rPr>
      </w:pPr>
      <w:r>
        <w:rPr>
          <w:rStyle w:val="FootnoteReference"/>
        </w:rPr>
        <w:footnoteRef/>
      </w:r>
      <w:r>
        <w:t xml:space="preserve"> </w:t>
      </w:r>
      <w:hyperlink r:id="rId3" w:history="1">
        <w:r w:rsidRPr="00B064DA">
          <w:rPr>
            <w:rStyle w:val="Hyperlink"/>
            <w:lang w:val="en-AU"/>
          </w:rPr>
          <w:t>Standard 2.7.1 – Labelling of alcoholic beverages and food containing alcohol</w:t>
        </w:r>
      </w:hyperlink>
    </w:p>
  </w:footnote>
  <w:footnote w:id="7">
    <w:p w14:paraId="2025A996" w14:textId="77777777" w:rsidR="005A0B71" w:rsidRPr="00FF05D2" w:rsidRDefault="005A0B71" w:rsidP="00E75CBC">
      <w:pPr>
        <w:pStyle w:val="FootnoteText"/>
        <w:rPr>
          <w:lang w:val="en-AU"/>
        </w:rPr>
      </w:pPr>
      <w:r>
        <w:rPr>
          <w:rStyle w:val="FootnoteReference"/>
        </w:rPr>
        <w:footnoteRef/>
      </w:r>
      <w:r>
        <w:t xml:space="preserve"> For further information </w:t>
      </w:r>
      <w:r>
        <w:rPr>
          <w:lang w:val="en-AU"/>
        </w:rPr>
        <w:t xml:space="preserve">see </w:t>
      </w:r>
      <w:hyperlink r:id="rId4" w:history="1">
        <w:r w:rsidRPr="00940E0D">
          <w:rPr>
            <w:rStyle w:val="Hyperlink"/>
            <w:lang w:val="en-AU"/>
          </w:rPr>
          <w:t>Proposal P1050 – Pregnancy warning labels on alcoholic beverages</w:t>
        </w:r>
      </w:hyperlink>
    </w:p>
  </w:footnote>
  <w:footnote w:id="8">
    <w:p w14:paraId="12CD42C2" w14:textId="0AD3F85B" w:rsidR="005A0B71" w:rsidRPr="00D51B67" w:rsidRDefault="005A0B71" w:rsidP="0061448F">
      <w:pPr>
        <w:pStyle w:val="FootnoteText"/>
        <w:keepLines/>
        <w:rPr>
          <w:lang w:val="en-AU"/>
        </w:rPr>
      </w:pPr>
      <w:r w:rsidRPr="00D51B67">
        <w:rPr>
          <w:rStyle w:val="FootnoteReference"/>
        </w:rPr>
        <w:footnoteRef/>
      </w:r>
      <w:r w:rsidRPr="00D51B67">
        <w:t xml:space="preserve"> </w:t>
      </w:r>
      <w:r w:rsidRPr="00D51B67">
        <w:rPr>
          <w:lang w:val="en-AU"/>
        </w:rPr>
        <w:t>GOVERNMENT WARNING: (1) According to the Surgeon General, women should not drink alcoholic beverages during pregnancy because of the risk of birth defects. (2) Consumption of alcoholic beverages impairs your ability to drive a car or operate machinery, and may cause health problems.</w:t>
      </w:r>
    </w:p>
    <w:p w14:paraId="6786BC21" w14:textId="77777777" w:rsidR="005A0B71" w:rsidRPr="00E008C8" w:rsidRDefault="005A0B71" w:rsidP="00D51B67">
      <w:pPr>
        <w:pStyle w:val="FootnoteText"/>
        <w:rPr>
          <w:lang w:val="en-AU"/>
        </w:rPr>
      </w:pPr>
    </w:p>
  </w:footnote>
  <w:footnote w:id="9">
    <w:p w14:paraId="70225706" w14:textId="60F8BAF0" w:rsidR="005A0B71" w:rsidRDefault="005A0B71" w:rsidP="00D51B67">
      <w:pPr>
        <w:pStyle w:val="FootnoteText"/>
        <w:rPr>
          <w:lang w:val="en-AU"/>
        </w:rPr>
      </w:pPr>
      <w:r>
        <w:rPr>
          <w:rStyle w:val="FootnoteReference"/>
        </w:rPr>
        <w:footnoteRef/>
      </w:r>
      <w:r>
        <w:t xml:space="preserve"> </w:t>
      </w:r>
      <w:r>
        <w:rPr>
          <w:lang w:val="en-AU"/>
        </w:rPr>
        <w:t xml:space="preserve">The standard pictogram refers to </w:t>
      </w:r>
      <w:r w:rsidRPr="00A644AF">
        <w:rPr>
          <w:lang w:val="en-AU"/>
        </w:rPr>
        <w:t>a silhouette of a pregnant woman holding a drinking glass enclosed within a circle with a diagonal strikethrough</w:t>
      </w:r>
      <w:r>
        <w:rPr>
          <w:lang w:val="en-AU"/>
        </w:rPr>
        <w:t>.</w:t>
      </w:r>
    </w:p>
    <w:p w14:paraId="41286F04" w14:textId="77777777" w:rsidR="005A0B71" w:rsidRPr="00A644AF" w:rsidRDefault="005A0B71" w:rsidP="00D51B67">
      <w:pPr>
        <w:pStyle w:val="FootnoteText"/>
        <w:rPr>
          <w:lang w:val="en-AU"/>
        </w:rPr>
      </w:pPr>
    </w:p>
  </w:footnote>
  <w:footnote w:id="10">
    <w:p w14:paraId="707177A4" w14:textId="77777777" w:rsidR="005A0B71" w:rsidRDefault="005A0B71" w:rsidP="00D51B67">
      <w:pPr>
        <w:pStyle w:val="FootnoteText"/>
      </w:pPr>
      <w:r>
        <w:rPr>
          <w:rStyle w:val="FootnoteReference"/>
        </w:rPr>
        <w:footnoteRef/>
      </w:r>
      <w:r>
        <w:t xml:space="preserve"> The authors conducted a one-way ANOVA which showed that the different labels had a statistically significant effect on attention. However, the authors did not report post-hoc tests to identify where exactly the significant differences were. Therefore no conclusion can be made regarding significant differences among conditions beyond the ‘colour and size’ condition which had the greatest difference in mean attention score compared to the control. The reported confidence intervals also appear to be incorrect which casts doubt on the quality of this study.</w:t>
      </w:r>
    </w:p>
    <w:p w14:paraId="4C07AF29" w14:textId="77777777" w:rsidR="005A0B71" w:rsidRPr="00F67BEC" w:rsidRDefault="005A0B71" w:rsidP="00D51B67">
      <w:pPr>
        <w:pStyle w:val="FootnoteText"/>
        <w:rPr>
          <w:lang w:val="en-AU"/>
        </w:rPr>
      </w:pPr>
    </w:p>
  </w:footnote>
  <w:footnote w:id="11">
    <w:p w14:paraId="795856A5" w14:textId="460BA4E0" w:rsidR="005A0B71" w:rsidRPr="00451567" w:rsidRDefault="005A0B71" w:rsidP="00D51B67">
      <w:pPr>
        <w:pStyle w:val="FootnoteText"/>
        <w:rPr>
          <w:lang w:val="en-AU"/>
        </w:rPr>
      </w:pPr>
      <w:r>
        <w:rPr>
          <w:rStyle w:val="FootnoteReference"/>
        </w:rPr>
        <w:footnoteRef/>
      </w:r>
      <w:r>
        <w:t xml:space="preserve"> The DrinkWise style guide recommended a minimum height of 8mm.</w:t>
      </w:r>
    </w:p>
  </w:footnote>
  <w:footnote w:id="12">
    <w:p w14:paraId="0DD1E5DB" w14:textId="0A267B10" w:rsidR="005A0B71" w:rsidRPr="00D0698B" w:rsidRDefault="005A0B71">
      <w:pPr>
        <w:pStyle w:val="FootnoteText"/>
        <w:rPr>
          <w:lang w:val="en-AU"/>
        </w:rPr>
      </w:pPr>
      <w:r>
        <w:rPr>
          <w:rStyle w:val="FootnoteReference"/>
        </w:rPr>
        <w:footnoteRef/>
      </w:r>
      <w:r>
        <w:t xml:space="preserve"> </w:t>
      </w:r>
      <w:hyperlink r:id="rId5" w:history="1">
        <w:r w:rsidRPr="00C959EA">
          <w:rPr>
            <w:rStyle w:val="Hyperlink"/>
            <w:lang w:val="en-AU"/>
          </w:rPr>
          <w:t>See section 1.3 in the Call for Submissions report for Proposal P1050</w:t>
        </w:r>
      </w:hyperlink>
    </w:p>
  </w:footnote>
  <w:footnote w:id="13">
    <w:p w14:paraId="2FCCBC61" w14:textId="270FC547" w:rsidR="005A0B71" w:rsidRPr="00883ADC" w:rsidRDefault="005A0B71" w:rsidP="002101F7">
      <w:pPr>
        <w:pStyle w:val="FootnoteText"/>
        <w:rPr>
          <w:lang w:val="en-AU"/>
        </w:rPr>
      </w:pPr>
      <w:r>
        <w:rPr>
          <w:rStyle w:val="FootnoteReference"/>
        </w:rPr>
        <w:footnoteRef/>
      </w:r>
      <w:r>
        <w:t xml:space="preserve"> </w:t>
      </w:r>
      <w:r w:rsidRPr="00883ADC">
        <w:rPr>
          <w:sz w:val="16"/>
          <w:szCs w:val="16"/>
        </w:rPr>
        <w:t>The applicant estimates around 8% of beer and cider,</w:t>
      </w:r>
      <w:r w:rsidR="00D6502E">
        <w:rPr>
          <w:sz w:val="16"/>
          <w:szCs w:val="16"/>
        </w:rPr>
        <w:t xml:space="preserve"> </w:t>
      </w:r>
      <w:r w:rsidR="00D6502E" w:rsidRPr="00883ADC">
        <w:rPr>
          <w:sz w:val="16"/>
          <w:szCs w:val="16"/>
        </w:rPr>
        <w:t>9.5% of wine</w:t>
      </w:r>
      <w:r w:rsidR="00BD58B3">
        <w:rPr>
          <w:sz w:val="16"/>
          <w:szCs w:val="16"/>
        </w:rPr>
        <w:t xml:space="preserve"> and</w:t>
      </w:r>
      <w:r w:rsidRPr="00883ADC">
        <w:rPr>
          <w:sz w:val="16"/>
          <w:szCs w:val="16"/>
        </w:rPr>
        <w:t xml:space="preserve"> 12.5% of pre-mixed drinks </w:t>
      </w:r>
      <w:r w:rsidR="00BD58B3">
        <w:rPr>
          <w:sz w:val="16"/>
          <w:szCs w:val="16"/>
        </w:rPr>
        <w:t>are</w:t>
      </w:r>
      <w:r w:rsidR="00D6502E">
        <w:rPr>
          <w:sz w:val="16"/>
          <w:szCs w:val="16"/>
        </w:rPr>
        <w:t xml:space="preserve"> </w:t>
      </w:r>
      <w:r>
        <w:rPr>
          <w:sz w:val="16"/>
          <w:szCs w:val="16"/>
        </w:rPr>
        <w:t xml:space="preserve">in CC </w:t>
      </w:r>
      <w:r w:rsidR="00BD58B3">
        <w:rPr>
          <w:sz w:val="16"/>
          <w:szCs w:val="16"/>
        </w:rPr>
        <w:t xml:space="preserve">packaging </w:t>
      </w:r>
      <w:r>
        <w:rPr>
          <w:sz w:val="16"/>
          <w:szCs w:val="16"/>
        </w:rPr>
        <w:t>at retail point of sale.</w:t>
      </w:r>
    </w:p>
  </w:footnote>
  <w:footnote w:id="14">
    <w:p w14:paraId="360FC8AC" w14:textId="2DBD9F60" w:rsidR="005A0B71" w:rsidRPr="00650C5C" w:rsidRDefault="005A0B71">
      <w:pPr>
        <w:pStyle w:val="FootnoteText"/>
        <w:rPr>
          <w:lang w:val="en-AU"/>
        </w:rPr>
      </w:pPr>
      <w:r>
        <w:rPr>
          <w:rStyle w:val="FootnoteReference"/>
        </w:rPr>
        <w:footnoteRef/>
      </w:r>
      <w:r>
        <w:t xml:space="preserve"> </w:t>
      </w:r>
      <w:r>
        <w:rPr>
          <w:lang w:val="en-AU"/>
        </w:rPr>
        <w:t>Now known as the Food Ministers’ Meeting</w:t>
      </w:r>
    </w:p>
  </w:footnote>
  <w:footnote w:id="15">
    <w:p w14:paraId="72CEF067" w14:textId="77777777" w:rsidR="005A0B71" w:rsidRPr="00074C20" w:rsidRDefault="005A0B71" w:rsidP="001E5DA6">
      <w:pPr>
        <w:pStyle w:val="FootnoteText"/>
        <w:rPr>
          <w:lang w:val="en-AU"/>
        </w:rPr>
      </w:pPr>
      <w:r>
        <w:rPr>
          <w:rStyle w:val="FootnoteReference"/>
        </w:rPr>
        <w:footnoteRef/>
      </w:r>
      <w:r>
        <w:t xml:space="preserve"> Information and downloadable pregnancy warning labels are available at </w:t>
      </w:r>
      <w:hyperlink r:id="rId6" w:history="1">
        <w:r w:rsidRPr="00C75927">
          <w:rPr>
            <w:rStyle w:val="Hyperlink"/>
          </w:rPr>
          <w:t>Pregnancy warning labels on alcoholic beverages (foodstandards.gov.au)</w:t>
        </w:r>
      </w:hyperlink>
    </w:p>
  </w:footnote>
  <w:footnote w:id="16">
    <w:p w14:paraId="07E99582" w14:textId="77777777" w:rsidR="005A0B71" w:rsidRPr="00C75927" w:rsidRDefault="005A0B71" w:rsidP="001E5DA6">
      <w:pPr>
        <w:pStyle w:val="FootnoteText"/>
        <w:rPr>
          <w:lang w:val="en-AU"/>
        </w:rPr>
      </w:pPr>
      <w:r>
        <w:rPr>
          <w:rStyle w:val="FootnoteReference"/>
        </w:rPr>
        <w:footnoteRef/>
      </w:r>
      <w:r>
        <w:t xml:space="preserve"> </w:t>
      </w:r>
      <w:r>
        <w:rPr>
          <w:lang w:val="en-AU"/>
        </w:rPr>
        <w:t xml:space="preserve">See section 9 in the </w:t>
      </w:r>
      <w:hyperlink r:id="rId7" w:history="1">
        <w:r w:rsidRPr="00EC7CF3">
          <w:rPr>
            <w:rStyle w:val="Hyperlink"/>
            <w:lang w:val="en-AU"/>
          </w:rPr>
          <w:t>P1050 Approval Report</w:t>
        </w:r>
      </w:hyperlink>
      <w:r>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0607" w14:textId="6535376C" w:rsidR="005A0B71" w:rsidRDefault="005A0B71" w:rsidP="00C72E88">
    <w:pPr>
      <w:pStyle w:val="Header"/>
      <w:jc w:val="center"/>
      <w:rPr>
        <w:b/>
        <w:bCs/>
      </w:rPr>
    </w:pPr>
  </w:p>
  <w:p w14:paraId="79D73572" w14:textId="5700219C" w:rsidR="005A0B71" w:rsidRDefault="005A0B7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DEE0F64"/>
    <w:multiLevelType w:val="hybridMultilevel"/>
    <w:tmpl w:val="2D0EE66E"/>
    <w:lvl w:ilvl="0" w:tplc="86F2574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6614A90"/>
    <w:multiLevelType w:val="hybridMultilevel"/>
    <w:tmpl w:val="6908EF66"/>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97C682A"/>
    <w:multiLevelType w:val="hybridMultilevel"/>
    <w:tmpl w:val="19400170"/>
    <w:lvl w:ilvl="0" w:tplc="5DD8B082">
      <w:start w:val="1"/>
      <w:numFmt w:val="lowerLetter"/>
      <w:lvlText w:val="(%1)"/>
      <w:lvlJc w:val="left"/>
      <w:pPr>
        <w:ind w:left="1287" w:hanging="360"/>
      </w:pPr>
      <w:rPr>
        <w:rFonts w:ascii="Arial" w:eastAsia="Times New Roman" w:hAnsi="Arial" w:cs="Times New Roman"/>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4" w15:restartNumberingAfterBreak="0">
    <w:nsid w:val="288245D8"/>
    <w:multiLevelType w:val="hybridMultilevel"/>
    <w:tmpl w:val="5C046490"/>
    <w:lvl w:ilvl="0" w:tplc="08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5" w15:restartNumberingAfterBreak="0">
    <w:nsid w:val="306C6883"/>
    <w:multiLevelType w:val="hybridMultilevel"/>
    <w:tmpl w:val="20C46B70"/>
    <w:lvl w:ilvl="0" w:tplc="9D24EF0C">
      <w:start w:val="1"/>
      <w:numFmt w:val="lowerLetter"/>
      <w:lvlText w:val="(%1)"/>
      <w:lvlJc w:val="left"/>
      <w:pPr>
        <w:ind w:left="930" w:hanging="360"/>
      </w:pPr>
      <w:rPr>
        <w:rFonts w:hint="default"/>
      </w:rPr>
    </w:lvl>
    <w:lvl w:ilvl="1" w:tplc="14090019" w:tentative="1">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6" w15:restartNumberingAfterBreak="0">
    <w:nsid w:val="389D141D"/>
    <w:multiLevelType w:val="hybridMultilevel"/>
    <w:tmpl w:val="AF5CD4A8"/>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8E5611B"/>
    <w:multiLevelType w:val="hybridMultilevel"/>
    <w:tmpl w:val="41EA393A"/>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FBA10DA"/>
    <w:multiLevelType w:val="hybridMultilevel"/>
    <w:tmpl w:val="73A856E2"/>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6394556"/>
    <w:multiLevelType w:val="hybridMultilevel"/>
    <w:tmpl w:val="8C42513A"/>
    <w:lvl w:ilvl="0" w:tplc="08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0" w15:restartNumberingAfterBreak="0">
    <w:nsid w:val="478165D8"/>
    <w:multiLevelType w:val="hybridMultilevel"/>
    <w:tmpl w:val="5C8A8778"/>
    <w:lvl w:ilvl="0" w:tplc="92A899D8">
      <w:start w:val="1"/>
      <w:numFmt w:val="lowerRoman"/>
      <w:lvlText w:val="(%1)"/>
      <w:lvlJc w:val="left"/>
      <w:pPr>
        <w:ind w:left="1710" w:hanging="72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1"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C651DE"/>
    <w:multiLevelType w:val="hybridMultilevel"/>
    <w:tmpl w:val="4734213E"/>
    <w:lvl w:ilvl="0" w:tplc="BED80A8E">
      <w:start w:val="1"/>
      <w:numFmt w:val="lowerLetter"/>
      <w:lvlText w:val="(%1)"/>
      <w:lvlJc w:val="left"/>
      <w:pPr>
        <w:ind w:left="927" w:hanging="360"/>
      </w:pPr>
      <w:rPr>
        <w:rFonts w:ascii="Arial" w:eastAsia="Times New Roman" w:hAnsi="Arial" w:cs="Times New Roman"/>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3" w15:restartNumberingAfterBreak="0">
    <w:nsid w:val="628F5665"/>
    <w:multiLevelType w:val="hybridMultilevel"/>
    <w:tmpl w:val="38EE7A12"/>
    <w:lvl w:ilvl="0" w:tplc="4A96B6E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4"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 w15:restartNumberingAfterBreak="0">
    <w:nsid w:val="65AA021F"/>
    <w:multiLevelType w:val="hybridMultilevel"/>
    <w:tmpl w:val="4642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A16BD"/>
    <w:multiLevelType w:val="hybridMultilevel"/>
    <w:tmpl w:val="ECBEFA24"/>
    <w:lvl w:ilvl="0" w:tplc="A956F3E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53256D9"/>
    <w:multiLevelType w:val="hybridMultilevel"/>
    <w:tmpl w:val="34E6A3FA"/>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833197E"/>
    <w:multiLevelType w:val="hybridMultilevel"/>
    <w:tmpl w:val="413AC77C"/>
    <w:lvl w:ilvl="0" w:tplc="08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9" w15:restartNumberingAfterBreak="0">
    <w:nsid w:val="7DB72431"/>
    <w:multiLevelType w:val="hybridMultilevel"/>
    <w:tmpl w:val="296A16B2"/>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DCC6080"/>
    <w:multiLevelType w:val="hybridMultilevel"/>
    <w:tmpl w:val="97D2EB40"/>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46259659">
    <w:abstractNumId w:val="11"/>
  </w:num>
  <w:num w:numId="2" w16cid:durableId="1765220265">
    <w:abstractNumId w:val="0"/>
  </w:num>
  <w:num w:numId="3" w16cid:durableId="1717389006">
    <w:abstractNumId w:val="14"/>
  </w:num>
  <w:num w:numId="4" w16cid:durableId="1215853425">
    <w:abstractNumId w:val="5"/>
  </w:num>
  <w:num w:numId="5" w16cid:durableId="1383092049">
    <w:abstractNumId w:val="6"/>
  </w:num>
  <w:num w:numId="6" w16cid:durableId="654918273">
    <w:abstractNumId w:val="4"/>
  </w:num>
  <w:num w:numId="7" w16cid:durableId="1743061507">
    <w:abstractNumId w:val="12"/>
  </w:num>
  <w:num w:numId="8" w16cid:durableId="760758790">
    <w:abstractNumId w:val="19"/>
  </w:num>
  <w:num w:numId="9" w16cid:durableId="8529983">
    <w:abstractNumId w:val="15"/>
  </w:num>
  <w:num w:numId="10" w16cid:durableId="769468039">
    <w:abstractNumId w:val="16"/>
  </w:num>
  <w:num w:numId="11" w16cid:durableId="1433822108">
    <w:abstractNumId w:val="1"/>
  </w:num>
  <w:num w:numId="12" w16cid:durableId="133568205">
    <w:abstractNumId w:val="9"/>
  </w:num>
  <w:num w:numId="13" w16cid:durableId="1171145850">
    <w:abstractNumId w:val="18"/>
  </w:num>
  <w:num w:numId="14" w16cid:durableId="1949970554">
    <w:abstractNumId w:val="20"/>
  </w:num>
  <w:num w:numId="15" w16cid:durableId="757946503">
    <w:abstractNumId w:val="2"/>
  </w:num>
  <w:num w:numId="16" w16cid:durableId="428278939">
    <w:abstractNumId w:val="7"/>
  </w:num>
  <w:num w:numId="17" w16cid:durableId="1404374448">
    <w:abstractNumId w:val="8"/>
  </w:num>
  <w:num w:numId="18" w16cid:durableId="1441947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972688">
    <w:abstractNumId w:val="13"/>
  </w:num>
  <w:num w:numId="20" w16cid:durableId="698506023">
    <w:abstractNumId w:val="10"/>
  </w:num>
  <w:num w:numId="21" w16cid:durableId="941114019">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02"/>
    <w:rsid w:val="00000790"/>
    <w:rsid w:val="00000AF5"/>
    <w:rsid w:val="0000121E"/>
    <w:rsid w:val="00001CF2"/>
    <w:rsid w:val="00001DC1"/>
    <w:rsid w:val="00001ECD"/>
    <w:rsid w:val="0000247B"/>
    <w:rsid w:val="00002D49"/>
    <w:rsid w:val="00003014"/>
    <w:rsid w:val="00003275"/>
    <w:rsid w:val="00003529"/>
    <w:rsid w:val="00004274"/>
    <w:rsid w:val="0000469B"/>
    <w:rsid w:val="000047ED"/>
    <w:rsid w:val="00004C81"/>
    <w:rsid w:val="00004EDA"/>
    <w:rsid w:val="00005711"/>
    <w:rsid w:val="00005F06"/>
    <w:rsid w:val="000060A3"/>
    <w:rsid w:val="00006413"/>
    <w:rsid w:val="0000676D"/>
    <w:rsid w:val="00006DBA"/>
    <w:rsid w:val="00006EB0"/>
    <w:rsid w:val="0001053E"/>
    <w:rsid w:val="00010EAD"/>
    <w:rsid w:val="000110A8"/>
    <w:rsid w:val="00011CA2"/>
    <w:rsid w:val="0001276B"/>
    <w:rsid w:val="00012D95"/>
    <w:rsid w:val="000135B2"/>
    <w:rsid w:val="000136B5"/>
    <w:rsid w:val="000136F7"/>
    <w:rsid w:val="00013B92"/>
    <w:rsid w:val="00013E8F"/>
    <w:rsid w:val="00014063"/>
    <w:rsid w:val="0001413E"/>
    <w:rsid w:val="0001423F"/>
    <w:rsid w:val="00014433"/>
    <w:rsid w:val="000146D9"/>
    <w:rsid w:val="00015118"/>
    <w:rsid w:val="0001599F"/>
    <w:rsid w:val="0001632A"/>
    <w:rsid w:val="00016CB6"/>
    <w:rsid w:val="0001797E"/>
    <w:rsid w:val="00017BB8"/>
    <w:rsid w:val="000208BD"/>
    <w:rsid w:val="00020BB4"/>
    <w:rsid w:val="00020C48"/>
    <w:rsid w:val="00020E3E"/>
    <w:rsid w:val="0002163F"/>
    <w:rsid w:val="0002222D"/>
    <w:rsid w:val="00022878"/>
    <w:rsid w:val="00022BFA"/>
    <w:rsid w:val="00022DBC"/>
    <w:rsid w:val="00023660"/>
    <w:rsid w:val="000240C8"/>
    <w:rsid w:val="0002473C"/>
    <w:rsid w:val="00024D8C"/>
    <w:rsid w:val="00024DAE"/>
    <w:rsid w:val="00025505"/>
    <w:rsid w:val="000257F4"/>
    <w:rsid w:val="00025CE9"/>
    <w:rsid w:val="00025EF0"/>
    <w:rsid w:val="00026052"/>
    <w:rsid w:val="00026419"/>
    <w:rsid w:val="00027853"/>
    <w:rsid w:val="0003078B"/>
    <w:rsid w:val="00030931"/>
    <w:rsid w:val="00030B2C"/>
    <w:rsid w:val="00030D7E"/>
    <w:rsid w:val="00032491"/>
    <w:rsid w:val="00032E2B"/>
    <w:rsid w:val="00033417"/>
    <w:rsid w:val="000340D9"/>
    <w:rsid w:val="0003437A"/>
    <w:rsid w:val="00034B2B"/>
    <w:rsid w:val="00034F87"/>
    <w:rsid w:val="0003587B"/>
    <w:rsid w:val="000359F0"/>
    <w:rsid w:val="00035FF3"/>
    <w:rsid w:val="000363D5"/>
    <w:rsid w:val="0003646E"/>
    <w:rsid w:val="00036626"/>
    <w:rsid w:val="00036A60"/>
    <w:rsid w:val="00037500"/>
    <w:rsid w:val="000405E9"/>
    <w:rsid w:val="000408BC"/>
    <w:rsid w:val="000427B2"/>
    <w:rsid w:val="00042C37"/>
    <w:rsid w:val="00042E9E"/>
    <w:rsid w:val="0004321B"/>
    <w:rsid w:val="00044416"/>
    <w:rsid w:val="000444E4"/>
    <w:rsid w:val="0004518C"/>
    <w:rsid w:val="000453C0"/>
    <w:rsid w:val="00045415"/>
    <w:rsid w:val="000457A5"/>
    <w:rsid w:val="00045F48"/>
    <w:rsid w:val="00046CF6"/>
    <w:rsid w:val="00046DA5"/>
    <w:rsid w:val="00047182"/>
    <w:rsid w:val="000475EB"/>
    <w:rsid w:val="00047AD6"/>
    <w:rsid w:val="00050106"/>
    <w:rsid w:val="000508A6"/>
    <w:rsid w:val="00051021"/>
    <w:rsid w:val="00051ED9"/>
    <w:rsid w:val="000524FA"/>
    <w:rsid w:val="00053152"/>
    <w:rsid w:val="0005360A"/>
    <w:rsid w:val="00053D64"/>
    <w:rsid w:val="000541B1"/>
    <w:rsid w:val="0005478B"/>
    <w:rsid w:val="000549E1"/>
    <w:rsid w:val="000559F9"/>
    <w:rsid w:val="000560D7"/>
    <w:rsid w:val="000564DE"/>
    <w:rsid w:val="00057181"/>
    <w:rsid w:val="00057328"/>
    <w:rsid w:val="0005770D"/>
    <w:rsid w:val="00060237"/>
    <w:rsid w:val="00060415"/>
    <w:rsid w:val="00060929"/>
    <w:rsid w:val="0006134B"/>
    <w:rsid w:val="00061B84"/>
    <w:rsid w:val="000622D9"/>
    <w:rsid w:val="00062FE2"/>
    <w:rsid w:val="0006349C"/>
    <w:rsid w:val="000643B8"/>
    <w:rsid w:val="000645DF"/>
    <w:rsid w:val="00064B2D"/>
    <w:rsid w:val="00064FC2"/>
    <w:rsid w:val="000650BB"/>
    <w:rsid w:val="000653B8"/>
    <w:rsid w:val="000655B3"/>
    <w:rsid w:val="000655DC"/>
    <w:rsid w:val="00065677"/>
    <w:rsid w:val="00065F1F"/>
    <w:rsid w:val="00065F7A"/>
    <w:rsid w:val="00066535"/>
    <w:rsid w:val="00066B83"/>
    <w:rsid w:val="00067CA1"/>
    <w:rsid w:val="000705B3"/>
    <w:rsid w:val="00070C27"/>
    <w:rsid w:val="00070F8C"/>
    <w:rsid w:val="00071A2B"/>
    <w:rsid w:val="00072035"/>
    <w:rsid w:val="000728F2"/>
    <w:rsid w:val="000731CD"/>
    <w:rsid w:val="000735FD"/>
    <w:rsid w:val="00074020"/>
    <w:rsid w:val="0007466A"/>
    <w:rsid w:val="00074C20"/>
    <w:rsid w:val="00074CD8"/>
    <w:rsid w:val="000759CF"/>
    <w:rsid w:val="000762D9"/>
    <w:rsid w:val="00076575"/>
    <w:rsid w:val="00076D33"/>
    <w:rsid w:val="000778D6"/>
    <w:rsid w:val="00081DC1"/>
    <w:rsid w:val="00082425"/>
    <w:rsid w:val="00082577"/>
    <w:rsid w:val="00083367"/>
    <w:rsid w:val="00083C00"/>
    <w:rsid w:val="00084057"/>
    <w:rsid w:val="000854F7"/>
    <w:rsid w:val="00085A54"/>
    <w:rsid w:val="00085E58"/>
    <w:rsid w:val="0008615F"/>
    <w:rsid w:val="000862F4"/>
    <w:rsid w:val="000866BD"/>
    <w:rsid w:val="00086DC8"/>
    <w:rsid w:val="000876C8"/>
    <w:rsid w:val="000877DD"/>
    <w:rsid w:val="00087DFA"/>
    <w:rsid w:val="00087EFA"/>
    <w:rsid w:val="00090314"/>
    <w:rsid w:val="00090333"/>
    <w:rsid w:val="00090C81"/>
    <w:rsid w:val="00090DC8"/>
    <w:rsid w:val="0009118A"/>
    <w:rsid w:val="000916C2"/>
    <w:rsid w:val="00091CC2"/>
    <w:rsid w:val="0009322C"/>
    <w:rsid w:val="0009337B"/>
    <w:rsid w:val="000934B6"/>
    <w:rsid w:val="00093DD9"/>
    <w:rsid w:val="0009444D"/>
    <w:rsid w:val="00095A1D"/>
    <w:rsid w:val="00095C71"/>
    <w:rsid w:val="00095EBC"/>
    <w:rsid w:val="000971B2"/>
    <w:rsid w:val="000973B0"/>
    <w:rsid w:val="00097677"/>
    <w:rsid w:val="000979DE"/>
    <w:rsid w:val="000A0B69"/>
    <w:rsid w:val="000A0DA3"/>
    <w:rsid w:val="000A136A"/>
    <w:rsid w:val="000A27E9"/>
    <w:rsid w:val="000A29E8"/>
    <w:rsid w:val="000A2CBC"/>
    <w:rsid w:val="000A34EB"/>
    <w:rsid w:val="000A3793"/>
    <w:rsid w:val="000A3D8B"/>
    <w:rsid w:val="000A41A0"/>
    <w:rsid w:val="000A4732"/>
    <w:rsid w:val="000A53EC"/>
    <w:rsid w:val="000A5DF8"/>
    <w:rsid w:val="000A6497"/>
    <w:rsid w:val="000A71AA"/>
    <w:rsid w:val="000A741F"/>
    <w:rsid w:val="000A7B7F"/>
    <w:rsid w:val="000B03BF"/>
    <w:rsid w:val="000B322B"/>
    <w:rsid w:val="000B378E"/>
    <w:rsid w:val="000B3D77"/>
    <w:rsid w:val="000B428C"/>
    <w:rsid w:val="000B4443"/>
    <w:rsid w:val="000B4BB7"/>
    <w:rsid w:val="000B5692"/>
    <w:rsid w:val="000B5BE1"/>
    <w:rsid w:val="000B6A76"/>
    <w:rsid w:val="000B6AF2"/>
    <w:rsid w:val="000B72C4"/>
    <w:rsid w:val="000C0D92"/>
    <w:rsid w:val="000C135D"/>
    <w:rsid w:val="000C16CA"/>
    <w:rsid w:val="000C2079"/>
    <w:rsid w:val="000C208C"/>
    <w:rsid w:val="000C22B1"/>
    <w:rsid w:val="000C2352"/>
    <w:rsid w:val="000C27ED"/>
    <w:rsid w:val="000C31D6"/>
    <w:rsid w:val="000C4095"/>
    <w:rsid w:val="000C412C"/>
    <w:rsid w:val="000C4279"/>
    <w:rsid w:val="000C5626"/>
    <w:rsid w:val="000C5E81"/>
    <w:rsid w:val="000C61E7"/>
    <w:rsid w:val="000C6787"/>
    <w:rsid w:val="000C6FCA"/>
    <w:rsid w:val="000C7021"/>
    <w:rsid w:val="000C70BF"/>
    <w:rsid w:val="000C71FC"/>
    <w:rsid w:val="000D094D"/>
    <w:rsid w:val="000D1CAE"/>
    <w:rsid w:val="000D2798"/>
    <w:rsid w:val="000D295F"/>
    <w:rsid w:val="000D2B1D"/>
    <w:rsid w:val="000D31B1"/>
    <w:rsid w:val="000D385D"/>
    <w:rsid w:val="000D3D07"/>
    <w:rsid w:val="000D3DB8"/>
    <w:rsid w:val="000D45D3"/>
    <w:rsid w:val="000D4DA4"/>
    <w:rsid w:val="000D4F80"/>
    <w:rsid w:val="000D5169"/>
    <w:rsid w:val="000D6255"/>
    <w:rsid w:val="000D6855"/>
    <w:rsid w:val="000D6F4B"/>
    <w:rsid w:val="000D6FB9"/>
    <w:rsid w:val="000D6FD4"/>
    <w:rsid w:val="000D7375"/>
    <w:rsid w:val="000E04AF"/>
    <w:rsid w:val="000E0857"/>
    <w:rsid w:val="000E0AE4"/>
    <w:rsid w:val="000E13D3"/>
    <w:rsid w:val="000E1500"/>
    <w:rsid w:val="000E18D6"/>
    <w:rsid w:val="000E1931"/>
    <w:rsid w:val="000E22B2"/>
    <w:rsid w:val="000E32B1"/>
    <w:rsid w:val="000E3573"/>
    <w:rsid w:val="000E3DBC"/>
    <w:rsid w:val="000E4D76"/>
    <w:rsid w:val="000E62A6"/>
    <w:rsid w:val="000E6512"/>
    <w:rsid w:val="000E67EF"/>
    <w:rsid w:val="000E6974"/>
    <w:rsid w:val="000E787E"/>
    <w:rsid w:val="000E7C14"/>
    <w:rsid w:val="000F0075"/>
    <w:rsid w:val="000F06E9"/>
    <w:rsid w:val="000F0A3A"/>
    <w:rsid w:val="000F14DA"/>
    <w:rsid w:val="000F15D2"/>
    <w:rsid w:val="000F23AD"/>
    <w:rsid w:val="000F27ED"/>
    <w:rsid w:val="000F2964"/>
    <w:rsid w:val="000F2C7F"/>
    <w:rsid w:val="000F3296"/>
    <w:rsid w:val="000F3BDC"/>
    <w:rsid w:val="000F4290"/>
    <w:rsid w:val="000F453E"/>
    <w:rsid w:val="000F61EB"/>
    <w:rsid w:val="000F6AD0"/>
    <w:rsid w:val="000F704E"/>
    <w:rsid w:val="000F716C"/>
    <w:rsid w:val="000F71A1"/>
    <w:rsid w:val="000F7D09"/>
    <w:rsid w:val="001019BF"/>
    <w:rsid w:val="00102322"/>
    <w:rsid w:val="00102615"/>
    <w:rsid w:val="0010287F"/>
    <w:rsid w:val="00102E8B"/>
    <w:rsid w:val="00102EE7"/>
    <w:rsid w:val="00103789"/>
    <w:rsid w:val="001038C4"/>
    <w:rsid w:val="00103A4B"/>
    <w:rsid w:val="00103CC6"/>
    <w:rsid w:val="0010439A"/>
    <w:rsid w:val="00104981"/>
    <w:rsid w:val="0010530F"/>
    <w:rsid w:val="001059DF"/>
    <w:rsid w:val="00105AB7"/>
    <w:rsid w:val="00107892"/>
    <w:rsid w:val="00110B27"/>
    <w:rsid w:val="0011172D"/>
    <w:rsid w:val="00111C8C"/>
    <w:rsid w:val="00111E30"/>
    <w:rsid w:val="00112252"/>
    <w:rsid w:val="00112CE8"/>
    <w:rsid w:val="00113CE3"/>
    <w:rsid w:val="00113F8E"/>
    <w:rsid w:val="00115195"/>
    <w:rsid w:val="00116919"/>
    <w:rsid w:val="00116CF0"/>
    <w:rsid w:val="001172FC"/>
    <w:rsid w:val="0011736A"/>
    <w:rsid w:val="00117522"/>
    <w:rsid w:val="00120472"/>
    <w:rsid w:val="00120CCF"/>
    <w:rsid w:val="00120ED4"/>
    <w:rsid w:val="00121201"/>
    <w:rsid w:val="0012171B"/>
    <w:rsid w:val="0012177C"/>
    <w:rsid w:val="001224DF"/>
    <w:rsid w:val="00123237"/>
    <w:rsid w:val="001234FF"/>
    <w:rsid w:val="0012426F"/>
    <w:rsid w:val="00124B32"/>
    <w:rsid w:val="00124D60"/>
    <w:rsid w:val="00124E64"/>
    <w:rsid w:val="001256E7"/>
    <w:rsid w:val="00125931"/>
    <w:rsid w:val="00125936"/>
    <w:rsid w:val="00125BED"/>
    <w:rsid w:val="001273B3"/>
    <w:rsid w:val="001277E0"/>
    <w:rsid w:val="00127D47"/>
    <w:rsid w:val="0013020F"/>
    <w:rsid w:val="00130A3A"/>
    <w:rsid w:val="001314B0"/>
    <w:rsid w:val="00131805"/>
    <w:rsid w:val="00132069"/>
    <w:rsid w:val="0013221A"/>
    <w:rsid w:val="00132C11"/>
    <w:rsid w:val="001338A1"/>
    <w:rsid w:val="00133AF5"/>
    <w:rsid w:val="001344B8"/>
    <w:rsid w:val="001348F2"/>
    <w:rsid w:val="0013536D"/>
    <w:rsid w:val="0013552F"/>
    <w:rsid w:val="001363A6"/>
    <w:rsid w:val="001363EE"/>
    <w:rsid w:val="0013697C"/>
    <w:rsid w:val="00136C47"/>
    <w:rsid w:val="0014095D"/>
    <w:rsid w:val="001410E6"/>
    <w:rsid w:val="00142F5C"/>
    <w:rsid w:val="00143103"/>
    <w:rsid w:val="0014389F"/>
    <w:rsid w:val="00143D1C"/>
    <w:rsid w:val="00143DFE"/>
    <w:rsid w:val="00143E89"/>
    <w:rsid w:val="00143EE0"/>
    <w:rsid w:val="00143F83"/>
    <w:rsid w:val="001446CC"/>
    <w:rsid w:val="00144B46"/>
    <w:rsid w:val="0014522F"/>
    <w:rsid w:val="00145535"/>
    <w:rsid w:val="00146879"/>
    <w:rsid w:val="00147B44"/>
    <w:rsid w:val="00147F4B"/>
    <w:rsid w:val="00147F6F"/>
    <w:rsid w:val="00150401"/>
    <w:rsid w:val="001510D5"/>
    <w:rsid w:val="00151550"/>
    <w:rsid w:val="00151EB3"/>
    <w:rsid w:val="00153D4F"/>
    <w:rsid w:val="00154199"/>
    <w:rsid w:val="001542D8"/>
    <w:rsid w:val="00154BF5"/>
    <w:rsid w:val="00154FB3"/>
    <w:rsid w:val="0015623D"/>
    <w:rsid w:val="00156420"/>
    <w:rsid w:val="001567CB"/>
    <w:rsid w:val="00157F3B"/>
    <w:rsid w:val="00161BE5"/>
    <w:rsid w:val="00161CF0"/>
    <w:rsid w:val="00162A23"/>
    <w:rsid w:val="00162BE0"/>
    <w:rsid w:val="001639FE"/>
    <w:rsid w:val="00163D47"/>
    <w:rsid w:val="00163F63"/>
    <w:rsid w:val="001649B8"/>
    <w:rsid w:val="001667AF"/>
    <w:rsid w:val="00166C92"/>
    <w:rsid w:val="00167213"/>
    <w:rsid w:val="001703E2"/>
    <w:rsid w:val="0017080D"/>
    <w:rsid w:val="00171BB5"/>
    <w:rsid w:val="00171C83"/>
    <w:rsid w:val="00171E9E"/>
    <w:rsid w:val="00172065"/>
    <w:rsid w:val="00172107"/>
    <w:rsid w:val="0017229B"/>
    <w:rsid w:val="0017266A"/>
    <w:rsid w:val="00174110"/>
    <w:rsid w:val="00174B4D"/>
    <w:rsid w:val="00174E72"/>
    <w:rsid w:val="00174F33"/>
    <w:rsid w:val="00175D92"/>
    <w:rsid w:val="001760B8"/>
    <w:rsid w:val="00177874"/>
    <w:rsid w:val="001778A6"/>
    <w:rsid w:val="001779E6"/>
    <w:rsid w:val="00177A83"/>
    <w:rsid w:val="001804CE"/>
    <w:rsid w:val="00180637"/>
    <w:rsid w:val="00180A8E"/>
    <w:rsid w:val="00180C41"/>
    <w:rsid w:val="00180F9B"/>
    <w:rsid w:val="001827A8"/>
    <w:rsid w:val="00182C4C"/>
    <w:rsid w:val="001833D9"/>
    <w:rsid w:val="00185228"/>
    <w:rsid w:val="001852C9"/>
    <w:rsid w:val="0018540E"/>
    <w:rsid w:val="001858D9"/>
    <w:rsid w:val="00185CEC"/>
    <w:rsid w:val="00186421"/>
    <w:rsid w:val="00186BD1"/>
    <w:rsid w:val="001877EE"/>
    <w:rsid w:val="0018786D"/>
    <w:rsid w:val="0019131A"/>
    <w:rsid w:val="001926B3"/>
    <w:rsid w:val="00193630"/>
    <w:rsid w:val="00193B71"/>
    <w:rsid w:val="00194765"/>
    <w:rsid w:val="00194A52"/>
    <w:rsid w:val="00194A85"/>
    <w:rsid w:val="00195254"/>
    <w:rsid w:val="0019558D"/>
    <w:rsid w:val="00195726"/>
    <w:rsid w:val="00195972"/>
    <w:rsid w:val="00196416"/>
    <w:rsid w:val="00196F72"/>
    <w:rsid w:val="00197830"/>
    <w:rsid w:val="00197D8D"/>
    <w:rsid w:val="001A0808"/>
    <w:rsid w:val="001A0BD8"/>
    <w:rsid w:val="001A0D6C"/>
    <w:rsid w:val="001A0E42"/>
    <w:rsid w:val="001A0E9A"/>
    <w:rsid w:val="001A1257"/>
    <w:rsid w:val="001A1A75"/>
    <w:rsid w:val="001A1F83"/>
    <w:rsid w:val="001A2133"/>
    <w:rsid w:val="001A217F"/>
    <w:rsid w:val="001A2D1C"/>
    <w:rsid w:val="001A31CD"/>
    <w:rsid w:val="001A3305"/>
    <w:rsid w:val="001A363F"/>
    <w:rsid w:val="001A464C"/>
    <w:rsid w:val="001A471E"/>
    <w:rsid w:val="001A5CA1"/>
    <w:rsid w:val="001A634C"/>
    <w:rsid w:val="001A63E6"/>
    <w:rsid w:val="001A67AA"/>
    <w:rsid w:val="001A76CB"/>
    <w:rsid w:val="001A7E9A"/>
    <w:rsid w:val="001B0520"/>
    <w:rsid w:val="001B07F3"/>
    <w:rsid w:val="001B09EE"/>
    <w:rsid w:val="001B17ED"/>
    <w:rsid w:val="001B1B59"/>
    <w:rsid w:val="001B2002"/>
    <w:rsid w:val="001B2CFA"/>
    <w:rsid w:val="001B2E9F"/>
    <w:rsid w:val="001B3D43"/>
    <w:rsid w:val="001B3DC7"/>
    <w:rsid w:val="001B42F4"/>
    <w:rsid w:val="001B449A"/>
    <w:rsid w:val="001B46B0"/>
    <w:rsid w:val="001B4E55"/>
    <w:rsid w:val="001B604B"/>
    <w:rsid w:val="001B62ED"/>
    <w:rsid w:val="001B6408"/>
    <w:rsid w:val="001B66D4"/>
    <w:rsid w:val="001B750F"/>
    <w:rsid w:val="001B7E95"/>
    <w:rsid w:val="001C0F3F"/>
    <w:rsid w:val="001C10AD"/>
    <w:rsid w:val="001C143B"/>
    <w:rsid w:val="001C15C4"/>
    <w:rsid w:val="001C1907"/>
    <w:rsid w:val="001C1A12"/>
    <w:rsid w:val="001C27A3"/>
    <w:rsid w:val="001C282C"/>
    <w:rsid w:val="001C296F"/>
    <w:rsid w:val="001C2C70"/>
    <w:rsid w:val="001C368B"/>
    <w:rsid w:val="001C3D2F"/>
    <w:rsid w:val="001C48EE"/>
    <w:rsid w:val="001C496E"/>
    <w:rsid w:val="001C4AFC"/>
    <w:rsid w:val="001C51AD"/>
    <w:rsid w:val="001C5295"/>
    <w:rsid w:val="001C5606"/>
    <w:rsid w:val="001C5722"/>
    <w:rsid w:val="001C582A"/>
    <w:rsid w:val="001C5A3C"/>
    <w:rsid w:val="001C5AC5"/>
    <w:rsid w:val="001C5D96"/>
    <w:rsid w:val="001C5DC6"/>
    <w:rsid w:val="001C65A5"/>
    <w:rsid w:val="001C66BB"/>
    <w:rsid w:val="001C6A0F"/>
    <w:rsid w:val="001C6F06"/>
    <w:rsid w:val="001C6F30"/>
    <w:rsid w:val="001C713F"/>
    <w:rsid w:val="001C79A7"/>
    <w:rsid w:val="001D02B3"/>
    <w:rsid w:val="001D0C68"/>
    <w:rsid w:val="001D2E54"/>
    <w:rsid w:val="001D31E0"/>
    <w:rsid w:val="001D34AA"/>
    <w:rsid w:val="001D3737"/>
    <w:rsid w:val="001D3751"/>
    <w:rsid w:val="001D395D"/>
    <w:rsid w:val="001D3F84"/>
    <w:rsid w:val="001D3FC7"/>
    <w:rsid w:val="001D41BF"/>
    <w:rsid w:val="001D5459"/>
    <w:rsid w:val="001D5E80"/>
    <w:rsid w:val="001D60FF"/>
    <w:rsid w:val="001D6B8A"/>
    <w:rsid w:val="001D6C07"/>
    <w:rsid w:val="001E039C"/>
    <w:rsid w:val="001E08EB"/>
    <w:rsid w:val="001E0913"/>
    <w:rsid w:val="001E09FA"/>
    <w:rsid w:val="001E0CF7"/>
    <w:rsid w:val="001E1555"/>
    <w:rsid w:val="001E1D4D"/>
    <w:rsid w:val="001E3798"/>
    <w:rsid w:val="001E3CBA"/>
    <w:rsid w:val="001E40FB"/>
    <w:rsid w:val="001E42AA"/>
    <w:rsid w:val="001E441B"/>
    <w:rsid w:val="001E58F6"/>
    <w:rsid w:val="001E5DA6"/>
    <w:rsid w:val="001E6045"/>
    <w:rsid w:val="001E60B6"/>
    <w:rsid w:val="001E6468"/>
    <w:rsid w:val="001E7A1A"/>
    <w:rsid w:val="001E7B7F"/>
    <w:rsid w:val="001F0B32"/>
    <w:rsid w:val="001F0BE4"/>
    <w:rsid w:val="001F1720"/>
    <w:rsid w:val="001F18BE"/>
    <w:rsid w:val="001F1FDA"/>
    <w:rsid w:val="001F25C8"/>
    <w:rsid w:val="001F2781"/>
    <w:rsid w:val="001F329D"/>
    <w:rsid w:val="001F3391"/>
    <w:rsid w:val="001F3554"/>
    <w:rsid w:val="001F3DED"/>
    <w:rsid w:val="001F4E9A"/>
    <w:rsid w:val="001F54A4"/>
    <w:rsid w:val="001F5B9C"/>
    <w:rsid w:val="001F5EE5"/>
    <w:rsid w:val="001F6098"/>
    <w:rsid w:val="001F61EA"/>
    <w:rsid w:val="001F6652"/>
    <w:rsid w:val="001F69D6"/>
    <w:rsid w:val="001F6C3B"/>
    <w:rsid w:val="001F719F"/>
    <w:rsid w:val="001F74B2"/>
    <w:rsid w:val="001F7D7F"/>
    <w:rsid w:val="002008E4"/>
    <w:rsid w:val="002014E3"/>
    <w:rsid w:val="00201682"/>
    <w:rsid w:val="00202593"/>
    <w:rsid w:val="00203540"/>
    <w:rsid w:val="00203770"/>
    <w:rsid w:val="00203797"/>
    <w:rsid w:val="00205BCF"/>
    <w:rsid w:val="002066BC"/>
    <w:rsid w:val="00206A83"/>
    <w:rsid w:val="00206D83"/>
    <w:rsid w:val="00206E6F"/>
    <w:rsid w:val="00207932"/>
    <w:rsid w:val="00207D2C"/>
    <w:rsid w:val="002101F7"/>
    <w:rsid w:val="00210609"/>
    <w:rsid w:val="00210C17"/>
    <w:rsid w:val="00211EBC"/>
    <w:rsid w:val="00212587"/>
    <w:rsid w:val="0021281D"/>
    <w:rsid w:val="00212DE1"/>
    <w:rsid w:val="00212FA4"/>
    <w:rsid w:val="00213476"/>
    <w:rsid w:val="002143E6"/>
    <w:rsid w:val="0021451F"/>
    <w:rsid w:val="00214B5C"/>
    <w:rsid w:val="00214C71"/>
    <w:rsid w:val="00214C8F"/>
    <w:rsid w:val="00216253"/>
    <w:rsid w:val="00217076"/>
    <w:rsid w:val="0021749D"/>
    <w:rsid w:val="0021799E"/>
    <w:rsid w:val="00220020"/>
    <w:rsid w:val="002203B8"/>
    <w:rsid w:val="002204DD"/>
    <w:rsid w:val="0022084E"/>
    <w:rsid w:val="00220934"/>
    <w:rsid w:val="002215C6"/>
    <w:rsid w:val="00221D07"/>
    <w:rsid w:val="00222091"/>
    <w:rsid w:val="002228B0"/>
    <w:rsid w:val="00223E28"/>
    <w:rsid w:val="0022465E"/>
    <w:rsid w:val="002252D1"/>
    <w:rsid w:val="002253DC"/>
    <w:rsid w:val="0022596D"/>
    <w:rsid w:val="002260EB"/>
    <w:rsid w:val="002276B2"/>
    <w:rsid w:val="00227CC9"/>
    <w:rsid w:val="00227E4A"/>
    <w:rsid w:val="00230868"/>
    <w:rsid w:val="00230D6A"/>
    <w:rsid w:val="00231640"/>
    <w:rsid w:val="002318C0"/>
    <w:rsid w:val="002333E8"/>
    <w:rsid w:val="002333F4"/>
    <w:rsid w:val="00233B07"/>
    <w:rsid w:val="00233FCB"/>
    <w:rsid w:val="002343E9"/>
    <w:rsid w:val="00234586"/>
    <w:rsid w:val="0023482B"/>
    <w:rsid w:val="00234C8D"/>
    <w:rsid w:val="00235139"/>
    <w:rsid w:val="00235B17"/>
    <w:rsid w:val="0023696F"/>
    <w:rsid w:val="002371E2"/>
    <w:rsid w:val="00240227"/>
    <w:rsid w:val="00240AD3"/>
    <w:rsid w:val="00240C02"/>
    <w:rsid w:val="00240DE6"/>
    <w:rsid w:val="00242163"/>
    <w:rsid w:val="00242BFA"/>
    <w:rsid w:val="00243181"/>
    <w:rsid w:val="002432EE"/>
    <w:rsid w:val="00243BCE"/>
    <w:rsid w:val="00243FCB"/>
    <w:rsid w:val="00244238"/>
    <w:rsid w:val="002442C5"/>
    <w:rsid w:val="0024456D"/>
    <w:rsid w:val="00244837"/>
    <w:rsid w:val="00244D49"/>
    <w:rsid w:val="0024545B"/>
    <w:rsid w:val="0024582E"/>
    <w:rsid w:val="00245BB0"/>
    <w:rsid w:val="0024604D"/>
    <w:rsid w:val="00246849"/>
    <w:rsid w:val="00246E53"/>
    <w:rsid w:val="002507CA"/>
    <w:rsid w:val="00251CC3"/>
    <w:rsid w:val="00251DA8"/>
    <w:rsid w:val="002529A6"/>
    <w:rsid w:val="00252B38"/>
    <w:rsid w:val="002530E2"/>
    <w:rsid w:val="002533E2"/>
    <w:rsid w:val="002547EF"/>
    <w:rsid w:val="00254869"/>
    <w:rsid w:val="002548F4"/>
    <w:rsid w:val="0025493D"/>
    <w:rsid w:val="00254BA5"/>
    <w:rsid w:val="00254CFD"/>
    <w:rsid w:val="00255E62"/>
    <w:rsid w:val="00256607"/>
    <w:rsid w:val="00256D65"/>
    <w:rsid w:val="0025756C"/>
    <w:rsid w:val="00257B88"/>
    <w:rsid w:val="00257C04"/>
    <w:rsid w:val="00261299"/>
    <w:rsid w:val="00261FA3"/>
    <w:rsid w:val="0026308F"/>
    <w:rsid w:val="00263B28"/>
    <w:rsid w:val="002660DA"/>
    <w:rsid w:val="0026667C"/>
    <w:rsid w:val="002669D5"/>
    <w:rsid w:val="00267F2A"/>
    <w:rsid w:val="002700B6"/>
    <w:rsid w:val="00270960"/>
    <w:rsid w:val="00270AB6"/>
    <w:rsid w:val="00270D3E"/>
    <w:rsid w:val="00270EBF"/>
    <w:rsid w:val="00271F00"/>
    <w:rsid w:val="00273070"/>
    <w:rsid w:val="00273A80"/>
    <w:rsid w:val="00273B47"/>
    <w:rsid w:val="00273E77"/>
    <w:rsid w:val="00274CFF"/>
    <w:rsid w:val="00274FE3"/>
    <w:rsid w:val="0027513D"/>
    <w:rsid w:val="00275149"/>
    <w:rsid w:val="00276026"/>
    <w:rsid w:val="002765F1"/>
    <w:rsid w:val="00277196"/>
    <w:rsid w:val="002771A3"/>
    <w:rsid w:val="00277AF7"/>
    <w:rsid w:val="00277C0A"/>
    <w:rsid w:val="0028046F"/>
    <w:rsid w:val="002806AE"/>
    <w:rsid w:val="00281C9A"/>
    <w:rsid w:val="002824B6"/>
    <w:rsid w:val="002826BA"/>
    <w:rsid w:val="00284090"/>
    <w:rsid w:val="0028485F"/>
    <w:rsid w:val="0028516F"/>
    <w:rsid w:val="002851C8"/>
    <w:rsid w:val="002858D0"/>
    <w:rsid w:val="00286196"/>
    <w:rsid w:val="00286859"/>
    <w:rsid w:val="002902D8"/>
    <w:rsid w:val="002907A3"/>
    <w:rsid w:val="0029082D"/>
    <w:rsid w:val="00291E14"/>
    <w:rsid w:val="0029204E"/>
    <w:rsid w:val="00292D70"/>
    <w:rsid w:val="00293186"/>
    <w:rsid w:val="002936B1"/>
    <w:rsid w:val="0029371A"/>
    <w:rsid w:val="002938BA"/>
    <w:rsid w:val="00293A40"/>
    <w:rsid w:val="00293B33"/>
    <w:rsid w:val="00294146"/>
    <w:rsid w:val="00294978"/>
    <w:rsid w:val="00294A19"/>
    <w:rsid w:val="00294BAD"/>
    <w:rsid w:val="002952CB"/>
    <w:rsid w:val="00295636"/>
    <w:rsid w:val="00296085"/>
    <w:rsid w:val="0029631C"/>
    <w:rsid w:val="002963D7"/>
    <w:rsid w:val="00297E47"/>
    <w:rsid w:val="002A005B"/>
    <w:rsid w:val="002A0194"/>
    <w:rsid w:val="002A0326"/>
    <w:rsid w:val="002A14D6"/>
    <w:rsid w:val="002A163C"/>
    <w:rsid w:val="002A2D8D"/>
    <w:rsid w:val="002A34EC"/>
    <w:rsid w:val="002A3ACD"/>
    <w:rsid w:val="002A46DE"/>
    <w:rsid w:val="002A5AF2"/>
    <w:rsid w:val="002A5F8B"/>
    <w:rsid w:val="002A60A8"/>
    <w:rsid w:val="002A62AD"/>
    <w:rsid w:val="002A6C15"/>
    <w:rsid w:val="002A749C"/>
    <w:rsid w:val="002A7795"/>
    <w:rsid w:val="002A7F6C"/>
    <w:rsid w:val="002B0D8E"/>
    <w:rsid w:val="002B1596"/>
    <w:rsid w:val="002B1A4F"/>
    <w:rsid w:val="002B3B34"/>
    <w:rsid w:val="002B46EE"/>
    <w:rsid w:val="002B4799"/>
    <w:rsid w:val="002B533B"/>
    <w:rsid w:val="002B597D"/>
    <w:rsid w:val="002B64D1"/>
    <w:rsid w:val="002B6A5B"/>
    <w:rsid w:val="002B73CF"/>
    <w:rsid w:val="002B767D"/>
    <w:rsid w:val="002B7D73"/>
    <w:rsid w:val="002C0244"/>
    <w:rsid w:val="002C0508"/>
    <w:rsid w:val="002C0AA8"/>
    <w:rsid w:val="002C2667"/>
    <w:rsid w:val="002C2AB8"/>
    <w:rsid w:val="002C2F47"/>
    <w:rsid w:val="002C305F"/>
    <w:rsid w:val="002C30F2"/>
    <w:rsid w:val="002C4A91"/>
    <w:rsid w:val="002C5021"/>
    <w:rsid w:val="002C51B2"/>
    <w:rsid w:val="002C5806"/>
    <w:rsid w:val="002C6A66"/>
    <w:rsid w:val="002C7907"/>
    <w:rsid w:val="002C7B27"/>
    <w:rsid w:val="002D18CD"/>
    <w:rsid w:val="002D1971"/>
    <w:rsid w:val="002D24B4"/>
    <w:rsid w:val="002D3010"/>
    <w:rsid w:val="002D320C"/>
    <w:rsid w:val="002D3996"/>
    <w:rsid w:val="002D42C4"/>
    <w:rsid w:val="002D5742"/>
    <w:rsid w:val="002D5B22"/>
    <w:rsid w:val="002D632F"/>
    <w:rsid w:val="002D64A7"/>
    <w:rsid w:val="002D65AE"/>
    <w:rsid w:val="002D6809"/>
    <w:rsid w:val="002D6A71"/>
    <w:rsid w:val="002D6EFC"/>
    <w:rsid w:val="002D76CF"/>
    <w:rsid w:val="002D7917"/>
    <w:rsid w:val="002E06E6"/>
    <w:rsid w:val="002E086A"/>
    <w:rsid w:val="002E0B3E"/>
    <w:rsid w:val="002E0F9A"/>
    <w:rsid w:val="002E1872"/>
    <w:rsid w:val="002E1995"/>
    <w:rsid w:val="002E1D81"/>
    <w:rsid w:val="002E23D1"/>
    <w:rsid w:val="002E33E5"/>
    <w:rsid w:val="002E3747"/>
    <w:rsid w:val="002E4064"/>
    <w:rsid w:val="002E55F1"/>
    <w:rsid w:val="002E5F9C"/>
    <w:rsid w:val="002E646A"/>
    <w:rsid w:val="002E670D"/>
    <w:rsid w:val="002E6D5F"/>
    <w:rsid w:val="002E7C64"/>
    <w:rsid w:val="002F18D3"/>
    <w:rsid w:val="002F1983"/>
    <w:rsid w:val="002F20BD"/>
    <w:rsid w:val="002F2653"/>
    <w:rsid w:val="002F2F4D"/>
    <w:rsid w:val="002F37A9"/>
    <w:rsid w:val="002F37B8"/>
    <w:rsid w:val="002F3A09"/>
    <w:rsid w:val="002F46E0"/>
    <w:rsid w:val="002F56C6"/>
    <w:rsid w:val="002F592A"/>
    <w:rsid w:val="002F5C95"/>
    <w:rsid w:val="002F5EA9"/>
    <w:rsid w:val="002F61DA"/>
    <w:rsid w:val="002F6488"/>
    <w:rsid w:val="002F6F6F"/>
    <w:rsid w:val="002F701A"/>
    <w:rsid w:val="002F7FF9"/>
    <w:rsid w:val="0030094E"/>
    <w:rsid w:val="00302149"/>
    <w:rsid w:val="0030264C"/>
    <w:rsid w:val="0030279C"/>
    <w:rsid w:val="00303A05"/>
    <w:rsid w:val="00304859"/>
    <w:rsid w:val="00304EA4"/>
    <w:rsid w:val="00306CEF"/>
    <w:rsid w:val="003078D4"/>
    <w:rsid w:val="00307A17"/>
    <w:rsid w:val="003100CE"/>
    <w:rsid w:val="00310E84"/>
    <w:rsid w:val="00310EF4"/>
    <w:rsid w:val="00312382"/>
    <w:rsid w:val="00312DDB"/>
    <w:rsid w:val="003139ED"/>
    <w:rsid w:val="00313C16"/>
    <w:rsid w:val="00313C18"/>
    <w:rsid w:val="00313C6C"/>
    <w:rsid w:val="00314262"/>
    <w:rsid w:val="003143FD"/>
    <w:rsid w:val="00314C4E"/>
    <w:rsid w:val="00315469"/>
    <w:rsid w:val="00315A71"/>
    <w:rsid w:val="00315E57"/>
    <w:rsid w:val="003168ED"/>
    <w:rsid w:val="00316A07"/>
    <w:rsid w:val="00316C9F"/>
    <w:rsid w:val="00317850"/>
    <w:rsid w:val="00317931"/>
    <w:rsid w:val="00320507"/>
    <w:rsid w:val="003209E7"/>
    <w:rsid w:val="00321117"/>
    <w:rsid w:val="003213F9"/>
    <w:rsid w:val="00321BFF"/>
    <w:rsid w:val="003228E7"/>
    <w:rsid w:val="003237EC"/>
    <w:rsid w:val="00323DBF"/>
    <w:rsid w:val="003249B9"/>
    <w:rsid w:val="00324BB7"/>
    <w:rsid w:val="00324EF0"/>
    <w:rsid w:val="003251CE"/>
    <w:rsid w:val="00325BCF"/>
    <w:rsid w:val="00326880"/>
    <w:rsid w:val="003268FA"/>
    <w:rsid w:val="00326906"/>
    <w:rsid w:val="00326C8A"/>
    <w:rsid w:val="00326E19"/>
    <w:rsid w:val="00326E9F"/>
    <w:rsid w:val="00327482"/>
    <w:rsid w:val="00327502"/>
    <w:rsid w:val="003309A8"/>
    <w:rsid w:val="00330D97"/>
    <w:rsid w:val="00331020"/>
    <w:rsid w:val="003324E1"/>
    <w:rsid w:val="00332B12"/>
    <w:rsid w:val="00333A04"/>
    <w:rsid w:val="00334225"/>
    <w:rsid w:val="003342FD"/>
    <w:rsid w:val="00334515"/>
    <w:rsid w:val="00334704"/>
    <w:rsid w:val="0033470E"/>
    <w:rsid w:val="00336711"/>
    <w:rsid w:val="00336860"/>
    <w:rsid w:val="00337EF6"/>
    <w:rsid w:val="00340745"/>
    <w:rsid w:val="00340F02"/>
    <w:rsid w:val="00341389"/>
    <w:rsid w:val="003426E7"/>
    <w:rsid w:val="0034288F"/>
    <w:rsid w:val="00343632"/>
    <w:rsid w:val="00343C83"/>
    <w:rsid w:val="00343D1E"/>
    <w:rsid w:val="0034441D"/>
    <w:rsid w:val="003447D7"/>
    <w:rsid w:val="0034499B"/>
    <w:rsid w:val="0034755B"/>
    <w:rsid w:val="00347935"/>
    <w:rsid w:val="00350DBD"/>
    <w:rsid w:val="00351263"/>
    <w:rsid w:val="00351927"/>
    <w:rsid w:val="00351B07"/>
    <w:rsid w:val="00351E3E"/>
    <w:rsid w:val="0035241A"/>
    <w:rsid w:val="00353E24"/>
    <w:rsid w:val="00354DAD"/>
    <w:rsid w:val="00354F05"/>
    <w:rsid w:val="0035568B"/>
    <w:rsid w:val="0035636E"/>
    <w:rsid w:val="003568CF"/>
    <w:rsid w:val="00356AAD"/>
    <w:rsid w:val="00356F16"/>
    <w:rsid w:val="003576E3"/>
    <w:rsid w:val="003603D0"/>
    <w:rsid w:val="00360ECE"/>
    <w:rsid w:val="0036118C"/>
    <w:rsid w:val="0036188A"/>
    <w:rsid w:val="0036202B"/>
    <w:rsid w:val="0036268A"/>
    <w:rsid w:val="00362C02"/>
    <w:rsid w:val="0036370D"/>
    <w:rsid w:val="003637DB"/>
    <w:rsid w:val="0036382B"/>
    <w:rsid w:val="00364316"/>
    <w:rsid w:val="00364841"/>
    <w:rsid w:val="00364AF6"/>
    <w:rsid w:val="00365113"/>
    <w:rsid w:val="0036548A"/>
    <w:rsid w:val="0036559F"/>
    <w:rsid w:val="003655BA"/>
    <w:rsid w:val="00365D6D"/>
    <w:rsid w:val="0036656B"/>
    <w:rsid w:val="003679FC"/>
    <w:rsid w:val="00370445"/>
    <w:rsid w:val="0037105A"/>
    <w:rsid w:val="003715B6"/>
    <w:rsid w:val="00371601"/>
    <w:rsid w:val="00371B29"/>
    <w:rsid w:val="00372182"/>
    <w:rsid w:val="0037225F"/>
    <w:rsid w:val="00372473"/>
    <w:rsid w:val="00372D03"/>
    <w:rsid w:val="00372EBB"/>
    <w:rsid w:val="00373748"/>
    <w:rsid w:val="00373D17"/>
    <w:rsid w:val="0037520F"/>
    <w:rsid w:val="003753BD"/>
    <w:rsid w:val="003756D9"/>
    <w:rsid w:val="00375728"/>
    <w:rsid w:val="00375EFC"/>
    <w:rsid w:val="00376102"/>
    <w:rsid w:val="003765F0"/>
    <w:rsid w:val="003766CB"/>
    <w:rsid w:val="00380A39"/>
    <w:rsid w:val="00381F42"/>
    <w:rsid w:val="00381FF0"/>
    <w:rsid w:val="0038483C"/>
    <w:rsid w:val="003858B4"/>
    <w:rsid w:val="00385BA1"/>
    <w:rsid w:val="00386261"/>
    <w:rsid w:val="003865FE"/>
    <w:rsid w:val="003879F2"/>
    <w:rsid w:val="003900B6"/>
    <w:rsid w:val="003904A5"/>
    <w:rsid w:val="00390BB7"/>
    <w:rsid w:val="00391034"/>
    <w:rsid w:val="00391088"/>
    <w:rsid w:val="00391754"/>
    <w:rsid w:val="00391769"/>
    <w:rsid w:val="00392385"/>
    <w:rsid w:val="0039317E"/>
    <w:rsid w:val="0039339C"/>
    <w:rsid w:val="00393A29"/>
    <w:rsid w:val="003947AC"/>
    <w:rsid w:val="003951CE"/>
    <w:rsid w:val="0039537C"/>
    <w:rsid w:val="003953E1"/>
    <w:rsid w:val="00395480"/>
    <w:rsid w:val="003956B3"/>
    <w:rsid w:val="003959B0"/>
    <w:rsid w:val="00396595"/>
    <w:rsid w:val="00396CA1"/>
    <w:rsid w:val="0039793D"/>
    <w:rsid w:val="003A0072"/>
    <w:rsid w:val="003A0603"/>
    <w:rsid w:val="003A0709"/>
    <w:rsid w:val="003A0D69"/>
    <w:rsid w:val="003A12D5"/>
    <w:rsid w:val="003A20AF"/>
    <w:rsid w:val="003A2A84"/>
    <w:rsid w:val="003A3627"/>
    <w:rsid w:val="003A444F"/>
    <w:rsid w:val="003A462E"/>
    <w:rsid w:val="003A4823"/>
    <w:rsid w:val="003A60AD"/>
    <w:rsid w:val="003A65A8"/>
    <w:rsid w:val="003A660D"/>
    <w:rsid w:val="003A68BD"/>
    <w:rsid w:val="003A68BE"/>
    <w:rsid w:val="003A7725"/>
    <w:rsid w:val="003A7B13"/>
    <w:rsid w:val="003A7E4E"/>
    <w:rsid w:val="003B0606"/>
    <w:rsid w:val="003B07FC"/>
    <w:rsid w:val="003B0BD0"/>
    <w:rsid w:val="003B1280"/>
    <w:rsid w:val="003B1BF4"/>
    <w:rsid w:val="003B3C9D"/>
    <w:rsid w:val="003B4132"/>
    <w:rsid w:val="003B4872"/>
    <w:rsid w:val="003B4EBA"/>
    <w:rsid w:val="003B53E0"/>
    <w:rsid w:val="003B6936"/>
    <w:rsid w:val="003B7811"/>
    <w:rsid w:val="003B78E0"/>
    <w:rsid w:val="003C0528"/>
    <w:rsid w:val="003C0B39"/>
    <w:rsid w:val="003C0F4F"/>
    <w:rsid w:val="003C12B4"/>
    <w:rsid w:val="003C21E8"/>
    <w:rsid w:val="003C4078"/>
    <w:rsid w:val="003C44CF"/>
    <w:rsid w:val="003C4969"/>
    <w:rsid w:val="003C5077"/>
    <w:rsid w:val="003C5092"/>
    <w:rsid w:val="003C559C"/>
    <w:rsid w:val="003C71A1"/>
    <w:rsid w:val="003D166D"/>
    <w:rsid w:val="003D1B47"/>
    <w:rsid w:val="003D1CDF"/>
    <w:rsid w:val="003D244E"/>
    <w:rsid w:val="003D2AEE"/>
    <w:rsid w:val="003D2BB0"/>
    <w:rsid w:val="003D34A7"/>
    <w:rsid w:val="003D3723"/>
    <w:rsid w:val="003D3970"/>
    <w:rsid w:val="003D3FFD"/>
    <w:rsid w:val="003D430C"/>
    <w:rsid w:val="003D4347"/>
    <w:rsid w:val="003D4516"/>
    <w:rsid w:val="003D4917"/>
    <w:rsid w:val="003D530C"/>
    <w:rsid w:val="003D5790"/>
    <w:rsid w:val="003D7022"/>
    <w:rsid w:val="003E07BE"/>
    <w:rsid w:val="003E08F8"/>
    <w:rsid w:val="003E1878"/>
    <w:rsid w:val="003E1D79"/>
    <w:rsid w:val="003E1D7D"/>
    <w:rsid w:val="003E249A"/>
    <w:rsid w:val="003E28F4"/>
    <w:rsid w:val="003E29E0"/>
    <w:rsid w:val="003E41D5"/>
    <w:rsid w:val="003E46BA"/>
    <w:rsid w:val="003E46DD"/>
    <w:rsid w:val="003E50E7"/>
    <w:rsid w:val="003E6B1F"/>
    <w:rsid w:val="003E7D22"/>
    <w:rsid w:val="003F0BF2"/>
    <w:rsid w:val="003F1577"/>
    <w:rsid w:val="003F2DC4"/>
    <w:rsid w:val="003F2E9C"/>
    <w:rsid w:val="003F4029"/>
    <w:rsid w:val="003F5CD8"/>
    <w:rsid w:val="003F6AB0"/>
    <w:rsid w:val="003F6D37"/>
    <w:rsid w:val="003F74C1"/>
    <w:rsid w:val="003F7B0A"/>
    <w:rsid w:val="003F7E0E"/>
    <w:rsid w:val="00400428"/>
    <w:rsid w:val="00400539"/>
    <w:rsid w:val="0040198D"/>
    <w:rsid w:val="00401AB3"/>
    <w:rsid w:val="0040314A"/>
    <w:rsid w:val="004032F6"/>
    <w:rsid w:val="00403C52"/>
    <w:rsid w:val="004040CF"/>
    <w:rsid w:val="004042A6"/>
    <w:rsid w:val="004056D5"/>
    <w:rsid w:val="00405B1A"/>
    <w:rsid w:val="00405EBF"/>
    <w:rsid w:val="00406D4C"/>
    <w:rsid w:val="00406FE8"/>
    <w:rsid w:val="00407241"/>
    <w:rsid w:val="0040761E"/>
    <w:rsid w:val="0040781D"/>
    <w:rsid w:val="00407DF4"/>
    <w:rsid w:val="0041022F"/>
    <w:rsid w:val="00410780"/>
    <w:rsid w:val="00410C76"/>
    <w:rsid w:val="00410D41"/>
    <w:rsid w:val="00411907"/>
    <w:rsid w:val="00411D31"/>
    <w:rsid w:val="004120FE"/>
    <w:rsid w:val="00412202"/>
    <w:rsid w:val="00413050"/>
    <w:rsid w:val="004138FD"/>
    <w:rsid w:val="00413CA8"/>
    <w:rsid w:val="004152B0"/>
    <w:rsid w:val="004153E7"/>
    <w:rsid w:val="0041693F"/>
    <w:rsid w:val="00416B12"/>
    <w:rsid w:val="00416FFE"/>
    <w:rsid w:val="0041723F"/>
    <w:rsid w:val="00417260"/>
    <w:rsid w:val="004175D5"/>
    <w:rsid w:val="004178E9"/>
    <w:rsid w:val="00417EE3"/>
    <w:rsid w:val="00420427"/>
    <w:rsid w:val="004207EB"/>
    <w:rsid w:val="00422183"/>
    <w:rsid w:val="0042358B"/>
    <w:rsid w:val="004236AA"/>
    <w:rsid w:val="004241B9"/>
    <w:rsid w:val="004241E6"/>
    <w:rsid w:val="004244D9"/>
    <w:rsid w:val="00424561"/>
    <w:rsid w:val="00425125"/>
    <w:rsid w:val="004258B7"/>
    <w:rsid w:val="00425ABA"/>
    <w:rsid w:val="004266B3"/>
    <w:rsid w:val="00426766"/>
    <w:rsid w:val="00427439"/>
    <w:rsid w:val="004277A4"/>
    <w:rsid w:val="00431AC4"/>
    <w:rsid w:val="00431E16"/>
    <w:rsid w:val="00432B31"/>
    <w:rsid w:val="00432C56"/>
    <w:rsid w:val="00432EED"/>
    <w:rsid w:val="00433915"/>
    <w:rsid w:val="00433965"/>
    <w:rsid w:val="00433A63"/>
    <w:rsid w:val="00433D52"/>
    <w:rsid w:val="00433D61"/>
    <w:rsid w:val="0043428E"/>
    <w:rsid w:val="004342B7"/>
    <w:rsid w:val="0043559C"/>
    <w:rsid w:val="004357E2"/>
    <w:rsid w:val="00435FA5"/>
    <w:rsid w:val="00436078"/>
    <w:rsid w:val="00436B8D"/>
    <w:rsid w:val="00437189"/>
    <w:rsid w:val="00437276"/>
    <w:rsid w:val="00440199"/>
    <w:rsid w:val="0044222B"/>
    <w:rsid w:val="0044223B"/>
    <w:rsid w:val="00442777"/>
    <w:rsid w:val="004431D8"/>
    <w:rsid w:val="00443508"/>
    <w:rsid w:val="00444877"/>
    <w:rsid w:val="00444D42"/>
    <w:rsid w:val="00445517"/>
    <w:rsid w:val="0044593D"/>
    <w:rsid w:val="004459E7"/>
    <w:rsid w:val="0044614F"/>
    <w:rsid w:val="0044667E"/>
    <w:rsid w:val="00446824"/>
    <w:rsid w:val="00446BB5"/>
    <w:rsid w:val="00446E1C"/>
    <w:rsid w:val="00446E64"/>
    <w:rsid w:val="00447131"/>
    <w:rsid w:val="00447E67"/>
    <w:rsid w:val="004505FB"/>
    <w:rsid w:val="00450E9D"/>
    <w:rsid w:val="004514F9"/>
    <w:rsid w:val="00451C74"/>
    <w:rsid w:val="00452669"/>
    <w:rsid w:val="0045273D"/>
    <w:rsid w:val="0045358F"/>
    <w:rsid w:val="00453D3D"/>
    <w:rsid w:val="00453FE9"/>
    <w:rsid w:val="00454FA4"/>
    <w:rsid w:val="0045556F"/>
    <w:rsid w:val="00455672"/>
    <w:rsid w:val="00455A17"/>
    <w:rsid w:val="00455DC8"/>
    <w:rsid w:val="00455E91"/>
    <w:rsid w:val="004568FB"/>
    <w:rsid w:val="00456B54"/>
    <w:rsid w:val="00456B9A"/>
    <w:rsid w:val="00457419"/>
    <w:rsid w:val="00460EC4"/>
    <w:rsid w:val="00461679"/>
    <w:rsid w:val="004624BF"/>
    <w:rsid w:val="00462513"/>
    <w:rsid w:val="00462543"/>
    <w:rsid w:val="0046330F"/>
    <w:rsid w:val="0046351F"/>
    <w:rsid w:val="00463DEB"/>
    <w:rsid w:val="00464643"/>
    <w:rsid w:val="004646F8"/>
    <w:rsid w:val="00465FDC"/>
    <w:rsid w:val="00466CA3"/>
    <w:rsid w:val="0047016E"/>
    <w:rsid w:val="00470713"/>
    <w:rsid w:val="004714DD"/>
    <w:rsid w:val="00471732"/>
    <w:rsid w:val="00471CF4"/>
    <w:rsid w:val="00471FF4"/>
    <w:rsid w:val="0047240B"/>
    <w:rsid w:val="00472BFA"/>
    <w:rsid w:val="00472F6F"/>
    <w:rsid w:val="00473092"/>
    <w:rsid w:val="00473476"/>
    <w:rsid w:val="00473E91"/>
    <w:rsid w:val="004750F3"/>
    <w:rsid w:val="004753CA"/>
    <w:rsid w:val="00476012"/>
    <w:rsid w:val="004762D4"/>
    <w:rsid w:val="0047692C"/>
    <w:rsid w:val="00476D16"/>
    <w:rsid w:val="00476E28"/>
    <w:rsid w:val="00477085"/>
    <w:rsid w:val="0047793D"/>
    <w:rsid w:val="00480501"/>
    <w:rsid w:val="0048072D"/>
    <w:rsid w:val="00480AF3"/>
    <w:rsid w:val="004810A7"/>
    <w:rsid w:val="00481344"/>
    <w:rsid w:val="00481FC0"/>
    <w:rsid w:val="0048230E"/>
    <w:rsid w:val="004825E4"/>
    <w:rsid w:val="00482F8C"/>
    <w:rsid w:val="00483CC7"/>
    <w:rsid w:val="00483D50"/>
    <w:rsid w:val="004842A7"/>
    <w:rsid w:val="00484883"/>
    <w:rsid w:val="0048516B"/>
    <w:rsid w:val="004851FA"/>
    <w:rsid w:val="004857BA"/>
    <w:rsid w:val="00486793"/>
    <w:rsid w:val="00486948"/>
    <w:rsid w:val="00486AA5"/>
    <w:rsid w:val="0048758C"/>
    <w:rsid w:val="00487903"/>
    <w:rsid w:val="00487A5F"/>
    <w:rsid w:val="004906AD"/>
    <w:rsid w:val="00490BDC"/>
    <w:rsid w:val="004917AF"/>
    <w:rsid w:val="00491FB9"/>
    <w:rsid w:val="0049339B"/>
    <w:rsid w:val="00493B9D"/>
    <w:rsid w:val="004943C2"/>
    <w:rsid w:val="00494426"/>
    <w:rsid w:val="0049478A"/>
    <w:rsid w:val="00494D68"/>
    <w:rsid w:val="00494FA6"/>
    <w:rsid w:val="00494FD5"/>
    <w:rsid w:val="0049503E"/>
    <w:rsid w:val="004952A2"/>
    <w:rsid w:val="0049572B"/>
    <w:rsid w:val="0049592A"/>
    <w:rsid w:val="00496317"/>
    <w:rsid w:val="0049655F"/>
    <w:rsid w:val="0049672E"/>
    <w:rsid w:val="0049729B"/>
    <w:rsid w:val="00497420"/>
    <w:rsid w:val="004A06D7"/>
    <w:rsid w:val="004A0727"/>
    <w:rsid w:val="004A13AD"/>
    <w:rsid w:val="004A162E"/>
    <w:rsid w:val="004A2037"/>
    <w:rsid w:val="004A3162"/>
    <w:rsid w:val="004A33D6"/>
    <w:rsid w:val="004A363A"/>
    <w:rsid w:val="004A3685"/>
    <w:rsid w:val="004A3FD4"/>
    <w:rsid w:val="004A4362"/>
    <w:rsid w:val="004A4961"/>
    <w:rsid w:val="004A6529"/>
    <w:rsid w:val="004A6A4A"/>
    <w:rsid w:val="004A7348"/>
    <w:rsid w:val="004A7BC7"/>
    <w:rsid w:val="004B1ABB"/>
    <w:rsid w:val="004B1C8B"/>
    <w:rsid w:val="004B2A68"/>
    <w:rsid w:val="004B32AD"/>
    <w:rsid w:val="004B34E7"/>
    <w:rsid w:val="004B39CB"/>
    <w:rsid w:val="004B3AE5"/>
    <w:rsid w:val="004B4790"/>
    <w:rsid w:val="004B49FC"/>
    <w:rsid w:val="004B5A13"/>
    <w:rsid w:val="004B6546"/>
    <w:rsid w:val="004B763C"/>
    <w:rsid w:val="004C0E5D"/>
    <w:rsid w:val="004C11F2"/>
    <w:rsid w:val="004C144D"/>
    <w:rsid w:val="004C1A2A"/>
    <w:rsid w:val="004C2CE7"/>
    <w:rsid w:val="004C2ECC"/>
    <w:rsid w:val="004C3151"/>
    <w:rsid w:val="004C3B37"/>
    <w:rsid w:val="004C3CD4"/>
    <w:rsid w:val="004C3E31"/>
    <w:rsid w:val="004C4CB4"/>
    <w:rsid w:val="004C4CE6"/>
    <w:rsid w:val="004C52CF"/>
    <w:rsid w:val="004C5EEE"/>
    <w:rsid w:val="004C638A"/>
    <w:rsid w:val="004C67FD"/>
    <w:rsid w:val="004C6853"/>
    <w:rsid w:val="004C6A3D"/>
    <w:rsid w:val="004C7FCE"/>
    <w:rsid w:val="004D09CD"/>
    <w:rsid w:val="004D1287"/>
    <w:rsid w:val="004D12BD"/>
    <w:rsid w:val="004D1370"/>
    <w:rsid w:val="004D1F1F"/>
    <w:rsid w:val="004D2143"/>
    <w:rsid w:val="004D226C"/>
    <w:rsid w:val="004D2DB9"/>
    <w:rsid w:val="004D30A6"/>
    <w:rsid w:val="004D3505"/>
    <w:rsid w:val="004D4150"/>
    <w:rsid w:val="004D4B85"/>
    <w:rsid w:val="004D5811"/>
    <w:rsid w:val="004D6409"/>
    <w:rsid w:val="004D6803"/>
    <w:rsid w:val="004D6BBF"/>
    <w:rsid w:val="004D786E"/>
    <w:rsid w:val="004E08C7"/>
    <w:rsid w:val="004E1C84"/>
    <w:rsid w:val="004E2D90"/>
    <w:rsid w:val="004E2FD5"/>
    <w:rsid w:val="004E3B3F"/>
    <w:rsid w:val="004E3E5B"/>
    <w:rsid w:val="004E522F"/>
    <w:rsid w:val="004E5A1E"/>
    <w:rsid w:val="004E63F7"/>
    <w:rsid w:val="004E7102"/>
    <w:rsid w:val="004E734B"/>
    <w:rsid w:val="004E7B7D"/>
    <w:rsid w:val="004F0404"/>
    <w:rsid w:val="004F1749"/>
    <w:rsid w:val="004F2EEA"/>
    <w:rsid w:val="004F3015"/>
    <w:rsid w:val="004F356C"/>
    <w:rsid w:val="004F3923"/>
    <w:rsid w:val="004F4432"/>
    <w:rsid w:val="004F44C2"/>
    <w:rsid w:val="004F44E3"/>
    <w:rsid w:val="004F47C6"/>
    <w:rsid w:val="004F488F"/>
    <w:rsid w:val="004F49B2"/>
    <w:rsid w:val="004F4F98"/>
    <w:rsid w:val="004F54E4"/>
    <w:rsid w:val="004F570D"/>
    <w:rsid w:val="004F625B"/>
    <w:rsid w:val="004F6953"/>
    <w:rsid w:val="004F69F6"/>
    <w:rsid w:val="004F704D"/>
    <w:rsid w:val="004F7080"/>
    <w:rsid w:val="004F79AC"/>
    <w:rsid w:val="005002A2"/>
    <w:rsid w:val="00500C95"/>
    <w:rsid w:val="00500CFF"/>
    <w:rsid w:val="00501200"/>
    <w:rsid w:val="005017CF"/>
    <w:rsid w:val="00501C63"/>
    <w:rsid w:val="00502044"/>
    <w:rsid w:val="005022A0"/>
    <w:rsid w:val="00502629"/>
    <w:rsid w:val="005030A2"/>
    <w:rsid w:val="00503151"/>
    <w:rsid w:val="00504C51"/>
    <w:rsid w:val="00504D45"/>
    <w:rsid w:val="00505B4A"/>
    <w:rsid w:val="0050615C"/>
    <w:rsid w:val="0050771F"/>
    <w:rsid w:val="00510232"/>
    <w:rsid w:val="005109D9"/>
    <w:rsid w:val="00510EF3"/>
    <w:rsid w:val="0051105B"/>
    <w:rsid w:val="00511279"/>
    <w:rsid w:val="0051160E"/>
    <w:rsid w:val="005121BD"/>
    <w:rsid w:val="00512290"/>
    <w:rsid w:val="00513F85"/>
    <w:rsid w:val="00514403"/>
    <w:rsid w:val="00515090"/>
    <w:rsid w:val="005153CB"/>
    <w:rsid w:val="00515999"/>
    <w:rsid w:val="00515BDD"/>
    <w:rsid w:val="005166EC"/>
    <w:rsid w:val="0052032E"/>
    <w:rsid w:val="005207D8"/>
    <w:rsid w:val="00520C4D"/>
    <w:rsid w:val="00521026"/>
    <w:rsid w:val="0052113A"/>
    <w:rsid w:val="00521BB4"/>
    <w:rsid w:val="00521DAC"/>
    <w:rsid w:val="00521F70"/>
    <w:rsid w:val="00522E57"/>
    <w:rsid w:val="005236EE"/>
    <w:rsid w:val="005238CB"/>
    <w:rsid w:val="0052487D"/>
    <w:rsid w:val="00524AA2"/>
    <w:rsid w:val="00525B4A"/>
    <w:rsid w:val="005263F4"/>
    <w:rsid w:val="0052649E"/>
    <w:rsid w:val="00526B53"/>
    <w:rsid w:val="0052752A"/>
    <w:rsid w:val="0053084E"/>
    <w:rsid w:val="00531009"/>
    <w:rsid w:val="00531945"/>
    <w:rsid w:val="0053198D"/>
    <w:rsid w:val="00531A29"/>
    <w:rsid w:val="005339C7"/>
    <w:rsid w:val="005342CA"/>
    <w:rsid w:val="0053464E"/>
    <w:rsid w:val="005355D7"/>
    <w:rsid w:val="005358B0"/>
    <w:rsid w:val="00535915"/>
    <w:rsid w:val="0053596B"/>
    <w:rsid w:val="00536392"/>
    <w:rsid w:val="0053650B"/>
    <w:rsid w:val="005365E9"/>
    <w:rsid w:val="00540318"/>
    <w:rsid w:val="00540794"/>
    <w:rsid w:val="0054129B"/>
    <w:rsid w:val="00541E0A"/>
    <w:rsid w:val="00542075"/>
    <w:rsid w:val="0054232C"/>
    <w:rsid w:val="00542578"/>
    <w:rsid w:val="00542B40"/>
    <w:rsid w:val="00543D39"/>
    <w:rsid w:val="00544491"/>
    <w:rsid w:val="00545139"/>
    <w:rsid w:val="0054568A"/>
    <w:rsid w:val="00547424"/>
    <w:rsid w:val="005475FA"/>
    <w:rsid w:val="00547865"/>
    <w:rsid w:val="00547E0C"/>
    <w:rsid w:val="00547EE5"/>
    <w:rsid w:val="0055038E"/>
    <w:rsid w:val="005503A8"/>
    <w:rsid w:val="00550B2C"/>
    <w:rsid w:val="00551596"/>
    <w:rsid w:val="0055273E"/>
    <w:rsid w:val="00553969"/>
    <w:rsid w:val="00553A60"/>
    <w:rsid w:val="00554888"/>
    <w:rsid w:val="00555BB0"/>
    <w:rsid w:val="00556564"/>
    <w:rsid w:val="00556E14"/>
    <w:rsid w:val="005573A1"/>
    <w:rsid w:val="005577C5"/>
    <w:rsid w:val="00557CA6"/>
    <w:rsid w:val="005605CB"/>
    <w:rsid w:val="00561183"/>
    <w:rsid w:val="005618C0"/>
    <w:rsid w:val="00562250"/>
    <w:rsid w:val="00562917"/>
    <w:rsid w:val="005640B0"/>
    <w:rsid w:val="00564D12"/>
    <w:rsid w:val="005655BC"/>
    <w:rsid w:val="00565DC7"/>
    <w:rsid w:val="0056641F"/>
    <w:rsid w:val="00567273"/>
    <w:rsid w:val="00567C95"/>
    <w:rsid w:val="005702D5"/>
    <w:rsid w:val="0057033F"/>
    <w:rsid w:val="00570385"/>
    <w:rsid w:val="00570976"/>
    <w:rsid w:val="00570BAB"/>
    <w:rsid w:val="00570BC1"/>
    <w:rsid w:val="00570EC7"/>
    <w:rsid w:val="00571523"/>
    <w:rsid w:val="00571E19"/>
    <w:rsid w:val="00572529"/>
    <w:rsid w:val="00572541"/>
    <w:rsid w:val="00572C5D"/>
    <w:rsid w:val="00572FB9"/>
    <w:rsid w:val="00573C07"/>
    <w:rsid w:val="005746C7"/>
    <w:rsid w:val="00575611"/>
    <w:rsid w:val="005766E4"/>
    <w:rsid w:val="00576E3B"/>
    <w:rsid w:val="00576EB3"/>
    <w:rsid w:val="00576ED8"/>
    <w:rsid w:val="00580C27"/>
    <w:rsid w:val="00580FFB"/>
    <w:rsid w:val="005816C2"/>
    <w:rsid w:val="00581E12"/>
    <w:rsid w:val="00582186"/>
    <w:rsid w:val="0058255A"/>
    <w:rsid w:val="00582D5C"/>
    <w:rsid w:val="00582D67"/>
    <w:rsid w:val="005851E4"/>
    <w:rsid w:val="00585605"/>
    <w:rsid w:val="00585936"/>
    <w:rsid w:val="00586228"/>
    <w:rsid w:val="00586B69"/>
    <w:rsid w:val="005873C5"/>
    <w:rsid w:val="0058751A"/>
    <w:rsid w:val="00587811"/>
    <w:rsid w:val="00587F90"/>
    <w:rsid w:val="0059108C"/>
    <w:rsid w:val="0059227F"/>
    <w:rsid w:val="005922D8"/>
    <w:rsid w:val="0059231D"/>
    <w:rsid w:val="00592706"/>
    <w:rsid w:val="00592F5B"/>
    <w:rsid w:val="005935B2"/>
    <w:rsid w:val="0059381C"/>
    <w:rsid w:val="005941A9"/>
    <w:rsid w:val="00594674"/>
    <w:rsid w:val="0059498B"/>
    <w:rsid w:val="00594D30"/>
    <w:rsid w:val="00594E5E"/>
    <w:rsid w:val="0059646E"/>
    <w:rsid w:val="005968ED"/>
    <w:rsid w:val="00596B91"/>
    <w:rsid w:val="00596DD6"/>
    <w:rsid w:val="00597668"/>
    <w:rsid w:val="005A0B71"/>
    <w:rsid w:val="005A1354"/>
    <w:rsid w:val="005A136B"/>
    <w:rsid w:val="005A1C79"/>
    <w:rsid w:val="005A2751"/>
    <w:rsid w:val="005A35E6"/>
    <w:rsid w:val="005A3A03"/>
    <w:rsid w:val="005A40F7"/>
    <w:rsid w:val="005A429B"/>
    <w:rsid w:val="005A4564"/>
    <w:rsid w:val="005A507E"/>
    <w:rsid w:val="005A589C"/>
    <w:rsid w:val="005A597D"/>
    <w:rsid w:val="005A5B3A"/>
    <w:rsid w:val="005A64E4"/>
    <w:rsid w:val="005A6981"/>
    <w:rsid w:val="005A7BD1"/>
    <w:rsid w:val="005B01E7"/>
    <w:rsid w:val="005B0292"/>
    <w:rsid w:val="005B0F8E"/>
    <w:rsid w:val="005B2A64"/>
    <w:rsid w:val="005B31FD"/>
    <w:rsid w:val="005B37A9"/>
    <w:rsid w:val="005B4018"/>
    <w:rsid w:val="005B40E4"/>
    <w:rsid w:val="005B4A85"/>
    <w:rsid w:val="005B4A97"/>
    <w:rsid w:val="005B5891"/>
    <w:rsid w:val="005B5B16"/>
    <w:rsid w:val="005B5C7C"/>
    <w:rsid w:val="005B615C"/>
    <w:rsid w:val="005B6560"/>
    <w:rsid w:val="005B6AF4"/>
    <w:rsid w:val="005B7645"/>
    <w:rsid w:val="005B7E01"/>
    <w:rsid w:val="005C04CB"/>
    <w:rsid w:val="005C1286"/>
    <w:rsid w:val="005C148C"/>
    <w:rsid w:val="005C2625"/>
    <w:rsid w:val="005C2EBC"/>
    <w:rsid w:val="005C3361"/>
    <w:rsid w:val="005C3391"/>
    <w:rsid w:val="005C44F9"/>
    <w:rsid w:val="005C49C3"/>
    <w:rsid w:val="005C5516"/>
    <w:rsid w:val="005C572E"/>
    <w:rsid w:val="005C60DA"/>
    <w:rsid w:val="005C70A9"/>
    <w:rsid w:val="005C71BA"/>
    <w:rsid w:val="005C7608"/>
    <w:rsid w:val="005D09A2"/>
    <w:rsid w:val="005D0CFD"/>
    <w:rsid w:val="005D16AD"/>
    <w:rsid w:val="005D1EDA"/>
    <w:rsid w:val="005D2062"/>
    <w:rsid w:val="005D26A4"/>
    <w:rsid w:val="005D3E76"/>
    <w:rsid w:val="005D3F5E"/>
    <w:rsid w:val="005D42DA"/>
    <w:rsid w:val="005D4775"/>
    <w:rsid w:val="005D4F4D"/>
    <w:rsid w:val="005D5F7F"/>
    <w:rsid w:val="005D694D"/>
    <w:rsid w:val="005D6A2F"/>
    <w:rsid w:val="005D6E11"/>
    <w:rsid w:val="005D6E53"/>
    <w:rsid w:val="005D72CA"/>
    <w:rsid w:val="005D72E1"/>
    <w:rsid w:val="005D787F"/>
    <w:rsid w:val="005D7C22"/>
    <w:rsid w:val="005E0A6C"/>
    <w:rsid w:val="005E0C50"/>
    <w:rsid w:val="005E172B"/>
    <w:rsid w:val="005E1ED3"/>
    <w:rsid w:val="005E2F53"/>
    <w:rsid w:val="005E41D2"/>
    <w:rsid w:val="005E4237"/>
    <w:rsid w:val="005E4D85"/>
    <w:rsid w:val="005E528B"/>
    <w:rsid w:val="005E583B"/>
    <w:rsid w:val="005E5A94"/>
    <w:rsid w:val="005E5B3A"/>
    <w:rsid w:val="005E5DFC"/>
    <w:rsid w:val="005E606F"/>
    <w:rsid w:val="005E6347"/>
    <w:rsid w:val="005E6682"/>
    <w:rsid w:val="005E6C31"/>
    <w:rsid w:val="005E6DC7"/>
    <w:rsid w:val="005E6E16"/>
    <w:rsid w:val="005E7662"/>
    <w:rsid w:val="005E7BD1"/>
    <w:rsid w:val="005F04D4"/>
    <w:rsid w:val="005F0F1B"/>
    <w:rsid w:val="005F1287"/>
    <w:rsid w:val="005F13BF"/>
    <w:rsid w:val="005F16E3"/>
    <w:rsid w:val="005F22EC"/>
    <w:rsid w:val="005F234A"/>
    <w:rsid w:val="005F2DBF"/>
    <w:rsid w:val="005F3207"/>
    <w:rsid w:val="005F3C06"/>
    <w:rsid w:val="005F400E"/>
    <w:rsid w:val="005F4275"/>
    <w:rsid w:val="005F4C08"/>
    <w:rsid w:val="005F5509"/>
    <w:rsid w:val="005F5B05"/>
    <w:rsid w:val="005F68D3"/>
    <w:rsid w:val="005F71DF"/>
    <w:rsid w:val="005F7342"/>
    <w:rsid w:val="00600615"/>
    <w:rsid w:val="00600C7B"/>
    <w:rsid w:val="0060141D"/>
    <w:rsid w:val="00601454"/>
    <w:rsid w:val="00602C60"/>
    <w:rsid w:val="00602EAF"/>
    <w:rsid w:val="00603A08"/>
    <w:rsid w:val="00605F7D"/>
    <w:rsid w:val="00606410"/>
    <w:rsid w:val="006066BC"/>
    <w:rsid w:val="006067DD"/>
    <w:rsid w:val="00606ADA"/>
    <w:rsid w:val="00606C88"/>
    <w:rsid w:val="0061022A"/>
    <w:rsid w:val="00610A3C"/>
    <w:rsid w:val="00611113"/>
    <w:rsid w:val="006111FF"/>
    <w:rsid w:val="006120F5"/>
    <w:rsid w:val="00612C97"/>
    <w:rsid w:val="00613042"/>
    <w:rsid w:val="0061318B"/>
    <w:rsid w:val="0061373E"/>
    <w:rsid w:val="006137D0"/>
    <w:rsid w:val="006138F1"/>
    <w:rsid w:val="00614244"/>
    <w:rsid w:val="0061448F"/>
    <w:rsid w:val="00615323"/>
    <w:rsid w:val="006156A8"/>
    <w:rsid w:val="00617030"/>
    <w:rsid w:val="006179AD"/>
    <w:rsid w:val="00617A9D"/>
    <w:rsid w:val="00617DF3"/>
    <w:rsid w:val="00620046"/>
    <w:rsid w:val="0062010F"/>
    <w:rsid w:val="00620679"/>
    <w:rsid w:val="00621192"/>
    <w:rsid w:val="006211CD"/>
    <w:rsid w:val="006219F2"/>
    <w:rsid w:val="00621DE7"/>
    <w:rsid w:val="006227FC"/>
    <w:rsid w:val="0062291F"/>
    <w:rsid w:val="00622AB8"/>
    <w:rsid w:val="00622DEF"/>
    <w:rsid w:val="00622FEF"/>
    <w:rsid w:val="006233AD"/>
    <w:rsid w:val="00623538"/>
    <w:rsid w:val="00623862"/>
    <w:rsid w:val="0062481F"/>
    <w:rsid w:val="00624B39"/>
    <w:rsid w:val="006255F8"/>
    <w:rsid w:val="006256C8"/>
    <w:rsid w:val="00625735"/>
    <w:rsid w:val="0062617B"/>
    <w:rsid w:val="0062680D"/>
    <w:rsid w:val="006270D9"/>
    <w:rsid w:val="006276E9"/>
    <w:rsid w:val="00627825"/>
    <w:rsid w:val="00627F48"/>
    <w:rsid w:val="00630B7F"/>
    <w:rsid w:val="00630C04"/>
    <w:rsid w:val="0063108A"/>
    <w:rsid w:val="006322C5"/>
    <w:rsid w:val="006323A7"/>
    <w:rsid w:val="006325B3"/>
    <w:rsid w:val="0063295C"/>
    <w:rsid w:val="00632A8D"/>
    <w:rsid w:val="006337F9"/>
    <w:rsid w:val="00633934"/>
    <w:rsid w:val="00633ACA"/>
    <w:rsid w:val="006342E0"/>
    <w:rsid w:val="0063500B"/>
    <w:rsid w:val="006351E3"/>
    <w:rsid w:val="0063532F"/>
    <w:rsid w:val="00635711"/>
    <w:rsid w:val="00635988"/>
    <w:rsid w:val="006369D8"/>
    <w:rsid w:val="00640418"/>
    <w:rsid w:val="0064097D"/>
    <w:rsid w:val="00641720"/>
    <w:rsid w:val="00641CAE"/>
    <w:rsid w:val="00641FDB"/>
    <w:rsid w:val="00642157"/>
    <w:rsid w:val="006429C0"/>
    <w:rsid w:val="00642A47"/>
    <w:rsid w:val="00642F9A"/>
    <w:rsid w:val="00643ADA"/>
    <w:rsid w:val="00643FB8"/>
    <w:rsid w:val="0064418E"/>
    <w:rsid w:val="00644682"/>
    <w:rsid w:val="00644A8C"/>
    <w:rsid w:val="00645D89"/>
    <w:rsid w:val="0064649C"/>
    <w:rsid w:val="006469DF"/>
    <w:rsid w:val="00646D9F"/>
    <w:rsid w:val="00646FDD"/>
    <w:rsid w:val="00647112"/>
    <w:rsid w:val="006479AB"/>
    <w:rsid w:val="00647FB2"/>
    <w:rsid w:val="006503E4"/>
    <w:rsid w:val="00650C5C"/>
    <w:rsid w:val="00651B8F"/>
    <w:rsid w:val="00653EDC"/>
    <w:rsid w:val="0065421B"/>
    <w:rsid w:val="0065452F"/>
    <w:rsid w:val="00654AB1"/>
    <w:rsid w:val="00655D9D"/>
    <w:rsid w:val="006560E2"/>
    <w:rsid w:val="00656BF8"/>
    <w:rsid w:val="00656C94"/>
    <w:rsid w:val="00657847"/>
    <w:rsid w:val="00660590"/>
    <w:rsid w:val="006630B7"/>
    <w:rsid w:val="00663678"/>
    <w:rsid w:val="00663FCF"/>
    <w:rsid w:val="006642EE"/>
    <w:rsid w:val="006645D1"/>
    <w:rsid w:val="006652A2"/>
    <w:rsid w:val="006654D2"/>
    <w:rsid w:val="006654E5"/>
    <w:rsid w:val="00665C28"/>
    <w:rsid w:val="006665AA"/>
    <w:rsid w:val="006671D5"/>
    <w:rsid w:val="0066752E"/>
    <w:rsid w:val="006678D9"/>
    <w:rsid w:val="00667D5C"/>
    <w:rsid w:val="00670876"/>
    <w:rsid w:val="0067123A"/>
    <w:rsid w:val="00671BFA"/>
    <w:rsid w:val="00671EF6"/>
    <w:rsid w:val="006729CD"/>
    <w:rsid w:val="0067471A"/>
    <w:rsid w:val="00674D28"/>
    <w:rsid w:val="00674D95"/>
    <w:rsid w:val="006759A1"/>
    <w:rsid w:val="00676259"/>
    <w:rsid w:val="00676634"/>
    <w:rsid w:val="00676EA9"/>
    <w:rsid w:val="006803D4"/>
    <w:rsid w:val="006804CD"/>
    <w:rsid w:val="006811E0"/>
    <w:rsid w:val="00681256"/>
    <w:rsid w:val="0068143C"/>
    <w:rsid w:val="00681754"/>
    <w:rsid w:val="00681D53"/>
    <w:rsid w:val="00682FFE"/>
    <w:rsid w:val="0068300D"/>
    <w:rsid w:val="00683E69"/>
    <w:rsid w:val="0068468D"/>
    <w:rsid w:val="006846E2"/>
    <w:rsid w:val="00684B7D"/>
    <w:rsid w:val="00685269"/>
    <w:rsid w:val="00686587"/>
    <w:rsid w:val="0068688F"/>
    <w:rsid w:val="0069178D"/>
    <w:rsid w:val="00691ED1"/>
    <w:rsid w:val="00691F06"/>
    <w:rsid w:val="006937FF"/>
    <w:rsid w:val="00694707"/>
    <w:rsid w:val="006957C3"/>
    <w:rsid w:val="00695FA0"/>
    <w:rsid w:val="0069616C"/>
    <w:rsid w:val="006965BF"/>
    <w:rsid w:val="00696B37"/>
    <w:rsid w:val="00696D85"/>
    <w:rsid w:val="00697E5D"/>
    <w:rsid w:val="006A0152"/>
    <w:rsid w:val="006A0C2F"/>
    <w:rsid w:val="006A0C93"/>
    <w:rsid w:val="006A0CAD"/>
    <w:rsid w:val="006A0F36"/>
    <w:rsid w:val="006A1E67"/>
    <w:rsid w:val="006A27E6"/>
    <w:rsid w:val="006A32DF"/>
    <w:rsid w:val="006A35F5"/>
    <w:rsid w:val="006A3806"/>
    <w:rsid w:val="006A44D3"/>
    <w:rsid w:val="006A4644"/>
    <w:rsid w:val="006A48A7"/>
    <w:rsid w:val="006A5D9D"/>
    <w:rsid w:val="006A66B6"/>
    <w:rsid w:val="006A67E3"/>
    <w:rsid w:val="006A7CE8"/>
    <w:rsid w:val="006B05EC"/>
    <w:rsid w:val="006B1540"/>
    <w:rsid w:val="006B17C8"/>
    <w:rsid w:val="006B22FC"/>
    <w:rsid w:val="006B2847"/>
    <w:rsid w:val="006B2C94"/>
    <w:rsid w:val="006B30E4"/>
    <w:rsid w:val="006B3456"/>
    <w:rsid w:val="006B4784"/>
    <w:rsid w:val="006B4BA1"/>
    <w:rsid w:val="006B5077"/>
    <w:rsid w:val="006B52F3"/>
    <w:rsid w:val="006B5ED7"/>
    <w:rsid w:val="006B6781"/>
    <w:rsid w:val="006B6F64"/>
    <w:rsid w:val="006B74C0"/>
    <w:rsid w:val="006B77AF"/>
    <w:rsid w:val="006B7DDD"/>
    <w:rsid w:val="006C04E7"/>
    <w:rsid w:val="006C1621"/>
    <w:rsid w:val="006C1AFB"/>
    <w:rsid w:val="006C1BB9"/>
    <w:rsid w:val="006C2464"/>
    <w:rsid w:val="006C28E2"/>
    <w:rsid w:val="006C2EAF"/>
    <w:rsid w:val="006C2F49"/>
    <w:rsid w:val="006C3907"/>
    <w:rsid w:val="006C3CB9"/>
    <w:rsid w:val="006C3D94"/>
    <w:rsid w:val="006C3FAC"/>
    <w:rsid w:val="006C4484"/>
    <w:rsid w:val="006C4745"/>
    <w:rsid w:val="006C4BBD"/>
    <w:rsid w:val="006C584D"/>
    <w:rsid w:val="006C5CF5"/>
    <w:rsid w:val="006C6940"/>
    <w:rsid w:val="006C7477"/>
    <w:rsid w:val="006C792B"/>
    <w:rsid w:val="006D016A"/>
    <w:rsid w:val="006D0A25"/>
    <w:rsid w:val="006D0AAC"/>
    <w:rsid w:val="006D0BCD"/>
    <w:rsid w:val="006D0ECB"/>
    <w:rsid w:val="006D2200"/>
    <w:rsid w:val="006D2441"/>
    <w:rsid w:val="006D24B7"/>
    <w:rsid w:val="006D2A9B"/>
    <w:rsid w:val="006D2DB3"/>
    <w:rsid w:val="006D3162"/>
    <w:rsid w:val="006D375F"/>
    <w:rsid w:val="006D3A6D"/>
    <w:rsid w:val="006D409F"/>
    <w:rsid w:val="006D43DB"/>
    <w:rsid w:val="006D468E"/>
    <w:rsid w:val="006D4E4D"/>
    <w:rsid w:val="006D53F3"/>
    <w:rsid w:val="006D6103"/>
    <w:rsid w:val="006D66B8"/>
    <w:rsid w:val="006D72CD"/>
    <w:rsid w:val="006D7F47"/>
    <w:rsid w:val="006E0CA3"/>
    <w:rsid w:val="006E2315"/>
    <w:rsid w:val="006E23C7"/>
    <w:rsid w:val="006E2E02"/>
    <w:rsid w:val="006E2F42"/>
    <w:rsid w:val="006E32DC"/>
    <w:rsid w:val="006E387B"/>
    <w:rsid w:val="006E3D5C"/>
    <w:rsid w:val="006E527D"/>
    <w:rsid w:val="006E5395"/>
    <w:rsid w:val="006E5C79"/>
    <w:rsid w:val="006E5E8D"/>
    <w:rsid w:val="006E6596"/>
    <w:rsid w:val="006E73A3"/>
    <w:rsid w:val="006F04CF"/>
    <w:rsid w:val="006F17A0"/>
    <w:rsid w:val="006F19E6"/>
    <w:rsid w:val="006F1A86"/>
    <w:rsid w:val="006F243C"/>
    <w:rsid w:val="006F2DD8"/>
    <w:rsid w:val="006F352C"/>
    <w:rsid w:val="006F3580"/>
    <w:rsid w:val="006F3896"/>
    <w:rsid w:val="006F48A1"/>
    <w:rsid w:val="006F4A82"/>
    <w:rsid w:val="006F4CEF"/>
    <w:rsid w:val="006F57D1"/>
    <w:rsid w:val="006F5825"/>
    <w:rsid w:val="006F58E0"/>
    <w:rsid w:val="006F5908"/>
    <w:rsid w:val="006F5D5E"/>
    <w:rsid w:val="006F60A0"/>
    <w:rsid w:val="006F64BA"/>
    <w:rsid w:val="006F70F0"/>
    <w:rsid w:val="006F71D4"/>
    <w:rsid w:val="006F762F"/>
    <w:rsid w:val="006F77B2"/>
    <w:rsid w:val="006F79B9"/>
    <w:rsid w:val="00700239"/>
    <w:rsid w:val="0070099B"/>
    <w:rsid w:val="00701006"/>
    <w:rsid w:val="00701A45"/>
    <w:rsid w:val="00702482"/>
    <w:rsid w:val="0070272E"/>
    <w:rsid w:val="00702851"/>
    <w:rsid w:val="007030F5"/>
    <w:rsid w:val="0070373B"/>
    <w:rsid w:val="00703AF2"/>
    <w:rsid w:val="00704BBA"/>
    <w:rsid w:val="00704C61"/>
    <w:rsid w:val="0070593C"/>
    <w:rsid w:val="0070759F"/>
    <w:rsid w:val="00707758"/>
    <w:rsid w:val="00707A70"/>
    <w:rsid w:val="00707C59"/>
    <w:rsid w:val="00707E72"/>
    <w:rsid w:val="00710F2E"/>
    <w:rsid w:val="007113EB"/>
    <w:rsid w:val="00711496"/>
    <w:rsid w:val="007119D0"/>
    <w:rsid w:val="00712774"/>
    <w:rsid w:val="00712FF6"/>
    <w:rsid w:val="00713386"/>
    <w:rsid w:val="007133FE"/>
    <w:rsid w:val="00713DE4"/>
    <w:rsid w:val="00714167"/>
    <w:rsid w:val="00714185"/>
    <w:rsid w:val="00714276"/>
    <w:rsid w:val="00715431"/>
    <w:rsid w:val="0071599F"/>
    <w:rsid w:val="00715AA1"/>
    <w:rsid w:val="007170BB"/>
    <w:rsid w:val="007175A1"/>
    <w:rsid w:val="00717801"/>
    <w:rsid w:val="00720885"/>
    <w:rsid w:val="007213D2"/>
    <w:rsid w:val="0072150F"/>
    <w:rsid w:val="00722040"/>
    <w:rsid w:val="0072301C"/>
    <w:rsid w:val="00724BA1"/>
    <w:rsid w:val="00724FA4"/>
    <w:rsid w:val="007256D9"/>
    <w:rsid w:val="00725DC8"/>
    <w:rsid w:val="007260F5"/>
    <w:rsid w:val="00726C2F"/>
    <w:rsid w:val="007279F5"/>
    <w:rsid w:val="007303E6"/>
    <w:rsid w:val="00730800"/>
    <w:rsid w:val="00730950"/>
    <w:rsid w:val="00731A1F"/>
    <w:rsid w:val="00732155"/>
    <w:rsid w:val="007322B4"/>
    <w:rsid w:val="00732D2B"/>
    <w:rsid w:val="00732D6D"/>
    <w:rsid w:val="00733387"/>
    <w:rsid w:val="007335B6"/>
    <w:rsid w:val="00735D9B"/>
    <w:rsid w:val="00735E4C"/>
    <w:rsid w:val="0073631E"/>
    <w:rsid w:val="007368AB"/>
    <w:rsid w:val="007369C6"/>
    <w:rsid w:val="00736E0B"/>
    <w:rsid w:val="007374BF"/>
    <w:rsid w:val="00737902"/>
    <w:rsid w:val="007408B6"/>
    <w:rsid w:val="0074171A"/>
    <w:rsid w:val="00741EFE"/>
    <w:rsid w:val="0074269D"/>
    <w:rsid w:val="0074299A"/>
    <w:rsid w:val="0074368B"/>
    <w:rsid w:val="00743798"/>
    <w:rsid w:val="007438A9"/>
    <w:rsid w:val="00743A7B"/>
    <w:rsid w:val="00743F11"/>
    <w:rsid w:val="00744000"/>
    <w:rsid w:val="00744469"/>
    <w:rsid w:val="00744609"/>
    <w:rsid w:val="00744935"/>
    <w:rsid w:val="00744979"/>
    <w:rsid w:val="00744B1F"/>
    <w:rsid w:val="0074503C"/>
    <w:rsid w:val="007452E9"/>
    <w:rsid w:val="00745733"/>
    <w:rsid w:val="007461AF"/>
    <w:rsid w:val="007466D1"/>
    <w:rsid w:val="00746F25"/>
    <w:rsid w:val="0074728A"/>
    <w:rsid w:val="00747402"/>
    <w:rsid w:val="00747850"/>
    <w:rsid w:val="00750E42"/>
    <w:rsid w:val="007510DB"/>
    <w:rsid w:val="00751833"/>
    <w:rsid w:val="00752F97"/>
    <w:rsid w:val="0075343D"/>
    <w:rsid w:val="0075461A"/>
    <w:rsid w:val="0075558C"/>
    <w:rsid w:val="007560E2"/>
    <w:rsid w:val="00756177"/>
    <w:rsid w:val="0075663C"/>
    <w:rsid w:val="00757324"/>
    <w:rsid w:val="00757686"/>
    <w:rsid w:val="00757D1E"/>
    <w:rsid w:val="007602AA"/>
    <w:rsid w:val="00760317"/>
    <w:rsid w:val="00760C0D"/>
    <w:rsid w:val="007610C3"/>
    <w:rsid w:val="007614BE"/>
    <w:rsid w:val="007618D1"/>
    <w:rsid w:val="00761AA2"/>
    <w:rsid w:val="0076264B"/>
    <w:rsid w:val="00762968"/>
    <w:rsid w:val="0076299C"/>
    <w:rsid w:val="007642E2"/>
    <w:rsid w:val="00764A51"/>
    <w:rsid w:val="00764D33"/>
    <w:rsid w:val="007652EF"/>
    <w:rsid w:val="007656AC"/>
    <w:rsid w:val="00765BA0"/>
    <w:rsid w:val="00766427"/>
    <w:rsid w:val="00766F0F"/>
    <w:rsid w:val="007671A9"/>
    <w:rsid w:val="007678DE"/>
    <w:rsid w:val="00767B62"/>
    <w:rsid w:val="00767E50"/>
    <w:rsid w:val="00770025"/>
    <w:rsid w:val="00770835"/>
    <w:rsid w:val="007723D0"/>
    <w:rsid w:val="00772BC1"/>
    <w:rsid w:val="00772BDC"/>
    <w:rsid w:val="00773033"/>
    <w:rsid w:val="007731C6"/>
    <w:rsid w:val="007737E6"/>
    <w:rsid w:val="00773DBC"/>
    <w:rsid w:val="00774B08"/>
    <w:rsid w:val="007754E1"/>
    <w:rsid w:val="007755F4"/>
    <w:rsid w:val="00775D3F"/>
    <w:rsid w:val="00780792"/>
    <w:rsid w:val="0078194B"/>
    <w:rsid w:val="00782BE8"/>
    <w:rsid w:val="00782D16"/>
    <w:rsid w:val="00783828"/>
    <w:rsid w:val="00783E16"/>
    <w:rsid w:val="00784BC1"/>
    <w:rsid w:val="00785432"/>
    <w:rsid w:val="007857F5"/>
    <w:rsid w:val="007858AE"/>
    <w:rsid w:val="00785F57"/>
    <w:rsid w:val="00786072"/>
    <w:rsid w:val="00786550"/>
    <w:rsid w:val="00786703"/>
    <w:rsid w:val="00786F8D"/>
    <w:rsid w:val="00787BEB"/>
    <w:rsid w:val="0079004A"/>
    <w:rsid w:val="00790227"/>
    <w:rsid w:val="007912FC"/>
    <w:rsid w:val="007919D7"/>
    <w:rsid w:val="0079365E"/>
    <w:rsid w:val="00793998"/>
    <w:rsid w:val="00793B4F"/>
    <w:rsid w:val="00793E48"/>
    <w:rsid w:val="0079401D"/>
    <w:rsid w:val="00794743"/>
    <w:rsid w:val="00794FDA"/>
    <w:rsid w:val="00795AB2"/>
    <w:rsid w:val="00795F1E"/>
    <w:rsid w:val="00796712"/>
    <w:rsid w:val="007A030F"/>
    <w:rsid w:val="007A04F1"/>
    <w:rsid w:val="007A0856"/>
    <w:rsid w:val="007A0FF7"/>
    <w:rsid w:val="007A17E7"/>
    <w:rsid w:val="007A2235"/>
    <w:rsid w:val="007A22AE"/>
    <w:rsid w:val="007A269F"/>
    <w:rsid w:val="007A27A5"/>
    <w:rsid w:val="007A356A"/>
    <w:rsid w:val="007A361F"/>
    <w:rsid w:val="007A44B4"/>
    <w:rsid w:val="007A5F02"/>
    <w:rsid w:val="007A6001"/>
    <w:rsid w:val="007A6646"/>
    <w:rsid w:val="007A700D"/>
    <w:rsid w:val="007A7D3D"/>
    <w:rsid w:val="007A7F25"/>
    <w:rsid w:val="007B0112"/>
    <w:rsid w:val="007B017B"/>
    <w:rsid w:val="007B027D"/>
    <w:rsid w:val="007B08D1"/>
    <w:rsid w:val="007B0E3D"/>
    <w:rsid w:val="007B16D9"/>
    <w:rsid w:val="007B1F2D"/>
    <w:rsid w:val="007B225D"/>
    <w:rsid w:val="007B36D2"/>
    <w:rsid w:val="007B3711"/>
    <w:rsid w:val="007B3B0B"/>
    <w:rsid w:val="007B4549"/>
    <w:rsid w:val="007B57E9"/>
    <w:rsid w:val="007B649B"/>
    <w:rsid w:val="007B683E"/>
    <w:rsid w:val="007B6D00"/>
    <w:rsid w:val="007B7246"/>
    <w:rsid w:val="007B76DC"/>
    <w:rsid w:val="007B7AD1"/>
    <w:rsid w:val="007C003F"/>
    <w:rsid w:val="007C05E9"/>
    <w:rsid w:val="007C07BD"/>
    <w:rsid w:val="007C0C3D"/>
    <w:rsid w:val="007C174F"/>
    <w:rsid w:val="007C1C64"/>
    <w:rsid w:val="007C1FF1"/>
    <w:rsid w:val="007C209D"/>
    <w:rsid w:val="007C2993"/>
    <w:rsid w:val="007C3148"/>
    <w:rsid w:val="007C337B"/>
    <w:rsid w:val="007C3DC1"/>
    <w:rsid w:val="007C4C1D"/>
    <w:rsid w:val="007C4F73"/>
    <w:rsid w:val="007C59E5"/>
    <w:rsid w:val="007C6054"/>
    <w:rsid w:val="007C6687"/>
    <w:rsid w:val="007C6BDD"/>
    <w:rsid w:val="007C7356"/>
    <w:rsid w:val="007D40A1"/>
    <w:rsid w:val="007D4CC4"/>
    <w:rsid w:val="007D5FA9"/>
    <w:rsid w:val="007D603B"/>
    <w:rsid w:val="007D64AE"/>
    <w:rsid w:val="007E075F"/>
    <w:rsid w:val="007E0AB3"/>
    <w:rsid w:val="007E0AE8"/>
    <w:rsid w:val="007E11FA"/>
    <w:rsid w:val="007E18EC"/>
    <w:rsid w:val="007E2C13"/>
    <w:rsid w:val="007E2FBF"/>
    <w:rsid w:val="007E309B"/>
    <w:rsid w:val="007E391E"/>
    <w:rsid w:val="007E4326"/>
    <w:rsid w:val="007E4487"/>
    <w:rsid w:val="007E48BC"/>
    <w:rsid w:val="007E48E2"/>
    <w:rsid w:val="007E4DBE"/>
    <w:rsid w:val="007E6591"/>
    <w:rsid w:val="007E6666"/>
    <w:rsid w:val="007E79F7"/>
    <w:rsid w:val="007F00BA"/>
    <w:rsid w:val="007F0179"/>
    <w:rsid w:val="007F071C"/>
    <w:rsid w:val="007F0D4F"/>
    <w:rsid w:val="007F1A11"/>
    <w:rsid w:val="007F1B1E"/>
    <w:rsid w:val="007F1C15"/>
    <w:rsid w:val="007F1C8F"/>
    <w:rsid w:val="007F1FF3"/>
    <w:rsid w:val="007F2378"/>
    <w:rsid w:val="007F254F"/>
    <w:rsid w:val="007F2A72"/>
    <w:rsid w:val="007F3630"/>
    <w:rsid w:val="007F3861"/>
    <w:rsid w:val="007F3D47"/>
    <w:rsid w:val="007F3DB1"/>
    <w:rsid w:val="007F4347"/>
    <w:rsid w:val="007F441A"/>
    <w:rsid w:val="007F4567"/>
    <w:rsid w:val="007F4EC7"/>
    <w:rsid w:val="007F7253"/>
    <w:rsid w:val="007F76A9"/>
    <w:rsid w:val="008005E8"/>
    <w:rsid w:val="00800AA0"/>
    <w:rsid w:val="00801A42"/>
    <w:rsid w:val="00801B47"/>
    <w:rsid w:val="00802528"/>
    <w:rsid w:val="008029F2"/>
    <w:rsid w:val="00802C4E"/>
    <w:rsid w:val="00802DA1"/>
    <w:rsid w:val="008033F4"/>
    <w:rsid w:val="0080341F"/>
    <w:rsid w:val="00804ADE"/>
    <w:rsid w:val="00804EAC"/>
    <w:rsid w:val="00804FD2"/>
    <w:rsid w:val="00805938"/>
    <w:rsid w:val="00805AC5"/>
    <w:rsid w:val="008073B8"/>
    <w:rsid w:val="00807559"/>
    <w:rsid w:val="0081183B"/>
    <w:rsid w:val="00811ABA"/>
    <w:rsid w:val="0081358D"/>
    <w:rsid w:val="0081389D"/>
    <w:rsid w:val="00814BBB"/>
    <w:rsid w:val="00815C8B"/>
    <w:rsid w:val="00816075"/>
    <w:rsid w:val="00816A3C"/>
    <w:rsid w:val="00816E5A"/>
    <w:rsid w:val="00817B3D"/>
    <w:rsid w:val="00817C10"/>
    <w:rsid w:val="00817C34"/>
    <w:rsid w:val="00820535"/>
    <w:rsid w:val="008210FC"/>
    <w:rsid w:val="00821407"/>
    <w:rsid w:val="00821BD3"/>
    <w:rsid w:val="0082261E"/>
    <w:rsid w:val="00822F3D"/>
    <w:rsid w:val="00823634"/>
    <w:rsid w:val="008238B4"/>
    <w:rsid w:val="008241AD"/>
    <w:rsid w:val="00825200"/>
    <w:rsid w:val="0082568A"/>
    <w:rsid w:val="008259D7"/>
    <w:rsid w:val="00827124"/>
    <w:rsid w:val="00831102"/>
    <w:rsid w:val="00831CEB"/>
    <w:rsid w:val="00831F7C"/>
    <w:rsid w:val="008321B2"/>
    <w:rsid w:val="0083265E"/>
    <w:rsid w:val="008337B9"/>
    <w:rsid w:val="0083498F"/>
    <w:rsid w:val="00834AD4"/>
    <w:rsid w:val="00835313"/>
    <w:rsid w:val="0083583D"/>
    <w:rsid w:val="00836616"/>
    <w:rsid w:val="00837170"/>
    <w:rsid w:val="008377FB"/>
    <w:rsid w:val="00837881"/>
    <w:rsid w:val="00837CCC"/>
    <w:rsid w:val="00840430"/>
    <w:rsid w:val="0084085F"/>
    <w:rsid w:val="00841526"/>
    <w:rsid w:val="008415C9"/>
    <w:rsid w:val="008419EE"/>
    <w:rsid w:val="00842036"/>
    <w:rsid w:val="008425CD"/>
    <w:rsid w:val="0084289F"/>
    <w:rsid w:val="008428A8"/>
    <w:rsid w:val="00844305"/>
    <w:rsid w:val="0084433A"/>
    <w:rsid w:val="008450BC"/>
    <w:rsid w:val="00845487"/>
    <w:rsid w:val="00845A8A"/>
    <w:rsid w:val="008462C0"/>
    <w:rsid w:val="008464AA"/>
    <w:rsid w:val="00846CBB"/>
    <w:rsid w:val="008478C9"/>
    <w:rsid w:val="00847AF4"/>
    <w:rsid w:val="008502A9"/>
    <w:rsid w:val="00850639"/>
    <w:rsid w:val="00850A42"/>
    <w:rsid w:val="008517B7"/>
    <w:rsid w:val="00851A60"/>
    <w:rsid w:val="00851D8D"/>
    <w:rsid w:val="00852117"/>
    <w:rsid w:val="0085334B"/>
    <w:rsid w:val="00853AC7"/>
    <w:rsid w:val="00853CDA"/>
    <w:rsid w:val="00854326"/>
    <w:rsid w:val="00854532"/>
    <w:rsid w:val="00855145"/>
    <w:rsid w:val="008551AE"/>
    <w:rsid w:val="008553CD"/>
    <w:rsid w:val="00856488"/>
    <w:rsid w:val="00856992"/>
    <w:rsid w:val="00856B47"/>
    <w:rsid w:val="00857054"/>
    <w:rsid w:val="00857124"/>
    <w:rsid w:val="00857458"/>
    <w:rsid w:val="008574A0"/>
    <w:rsid w:val="00857C61"/>
    <w:rsid w:val="00857D69"/>
    <w:rsid w:val="0086009A"/>
    <w:rsid w:val="008604AE"/>
    <w:rsid w:val="00860646"/>
    <w:rsid w:val="008625B1"/>
    <w:rsid w:val="00863464"/>
    <w:rsid w:val="00863784"/>
    <w:rsid w:val="00863AEA"/>
    <w:rsid w:val="00863C53"/>
    <w:rsid w:val="00863CD7"/>
    <w:rsid w:val="00863E4F"/>
    <w:rsid w:val="008648FB"/>
    <w:rsid w:val="00865052"/>
    <w:rsid w:val="00866438"/>
    <w:rsid w:val="00867B23"/>
    <w:rsid w:val="00867B56"/>
    <w:rsid w:val="00870214"/>
    <w:rsid w:val="00871537"/>
    <w:rsid w:val="008727F0"/>
    <w:rsid w:val="0087299C"/>
    <w:rsid w:val="00872AC3"/>
    <w:rsid w:val="00872C3B"/>
    <w:rsid w:val="0087358E"/>
    <w:rsid w:val="008736CD"/>
    <w:rsid w:val="00874080"/>
    <w:rsid w:val="008745B3"/>
    <w:rsid w:val="00874B4F"/>
    <w:rsid w:val="008753CA"/>
    <w:rsid w:val="00876515"/>
    <w:rsid w:val="00876661"/>
    <w:rsid w:val="00876EF1"/>
    <w:rsid w:val="00877E77"/>
    <w:rsid w:val="00880E95"/>
    <w:rsid w:val="00880EDB"/>
    <w:rsid w:val="008817A4"/>
    <w:rsid w:val="00881E6E"/>
    <w:rsid w:val="008824C5"/>
    <w:rsid w:val="008828D9"/>
    <w:rsid w:val="00882E6D"/>
    <w:rsid w:val="008837BD"/>
    <w:rsid w:val="00883A25"/>
    <w:rsid w:val="00883ADC"/>
    <w:rsid w:val="00883EA0"/>
    <w:rsid w:val="008842EB"/>
    <w:rsid w:val="00884A20"/>
    <w:rsid w:val="00884BE7"/>
    <w:rsid w:val="00885C51"/>
    <w:rsid w:val="00885C66"/>
    <w:rsid w:val="00885CD0"/>
    <w:rsid w:val="00885EB0"/>
    <w:rsid w:val="00885F5C"/>
    <w:rsid w:val="00885FA3"/>
    <w:rsid w:val="008875D7"/>
    <w:rsid w:val="00887DDD"/>
    <w:rsid w:val="00887EF4"/>
    <w:rsid w:val="00890699"/>
    <w:rsid w:val="008912E9"/>
    <w:rsid w:val="00892492"/>
    <w:rsid w:val="0089264A"/>
    <w:rsid w:val="008927E7"/>
    <w:rsid w:val="00892B5A"/>
    <w:rsid w:val="00893154"/>
    <w:rsid w:val="008934AC"/>
    <w:rsid w:val="0089393E"/>
    <w:rsid w:val="00894300"/>
    <w:rsid w:val="00894760"/>
    <w:rsid w:val="00894EC9"/>
    <w:rsid w:val="008964A8"/>
    <w:rsid w:val="00896B85"/>
    <w:rsid w:val="00897554"/>
    <w:rsid w:val="00897A5B"/>
    <w:rsid w:val="008A081C"/>
    <w:rsid w:val="008A1220"/>
    <w:rsid w:val="008A1ACF"/>
    <w:rsid w:val="008A1D20"/>
    <w:rsid w:val="008A22BE"/>
    <w:rsid w:val="008A2D7C"/>
    <w:rsid w:val="008A2ED5"/>
    <w:rsid w:val="008A3221"/>
    <w:rsid w:val="008A35FB"/>
    <w:rsid w:val="008A36A0"/>
    <w:rsid w:val="008A3C7F"/>
    <w:rsid w:val="008A4F69"/>
    <w:rsid w:val="008A5297"/>
    <w:rsid w:val="008A5866"/>
    <w:rsid w:val="008A652D"/>
    <w:rsid w:val="008A65D4"/>
    <w:rsid w:val="008A65DF"/>
    <w:rsid w:val="008A6D11"/>
    <w:rsid w:val="008A7048"/>
    <w:rsid w:val="008A72C2"/>
    <w:rsid w:val="008A7A1E"/>
    <w:rsid w:val="008A7A86"/>
    <w:rsid w:val="008B0075"/>
    <w:rsid w:val="008B01A2"/>
    <w:rsid w:val="008B045E"/>
    <w:rsid w:val="008B0D8E"/>
    <w:rsid w:val="008B27E0"/>
    <w:rsid w:val="008B3534"/>
    <w:rsid w:val="008B37B6"/>
    <w:rsid w:val="008B525E"/>
    <w:rsid w:val="008B53C9"/>
    <w:rsid w:val="008B5567"/>
    <w:rsid w:val="008B60EA"/>
    <w:rsid w:val="008B6837"/>
    <w:rsid w:val="008B6D60"/>
    <w:rsid w:val="008B77EE"/>
    <w:rsid w:val="008B7B39"/>
    <w:rsid w:val="008B7B85"/>
    <w:rsid w:val="008C0618"/>
    <w:rsid w:val="008C0A79"/>
    <w:rsid w:val="008C0D8C"/>
    <w:rsid w:val="008C0E7A"/>
    <w:rsid w:val="008C16D5"/>
    <w:rsid w:val="008C1B36"/>
    <w:rsid w:val="008C2365"/>
    <w:rsid w:val="008C2D3F"/>
    <w:rsid w:val="008C3077"/>
    <w:rsid w:val="008C31DC"/>
    <w:rsid w:val="008C32D7"/>
    <w:rsid w:val="008C3378"/>
    <w:rsid w:val="008C3F3B"/>
    <w:rsid w:val="008C4AC5"/>
    <w:rsid w:val="008C4B13"/>
    <w:rsid w:val="008C5238"/>
    <w:rsid w:val="008C5B64"/>
    <w:rsid w:val="008C5FD8"/>
    <w:rsid w:val="008C6E3C"/>
    <w:rsid w:val="008C7E8F"/>
    <w:rsid w:val="008D06C6"/>
    <w:rsid w:val="008D0C57"/>
    <w:rsid w:val="008D0F3D"/>
    <w:rsid w:val="008D1429"/>
    <w:rsid w:val="008D18E7"/>
    <w:rsid w:val="008D1F6C"/>
    <w:rsid w:val="008D23ED"/>
    <w:rsid w:val="008D30FB"/>
    <w:rsid w:val="008D379C"/>
    <w:rsid w:val="008D3BD7"/>
    <w:rsid w:val="008D3FFE"/>
    <w:rsid w:val="008D4305"/>
    <w:rsid w:val="008D50EE"/>
    <w:rsid w:val="008D53DB"/>
    <w:rsid w:val="008D59A0"/>
    <w:rsid w:val="008D5BCB"/>
    <w:rsid w:val="008D6079"/>
    <w:rsid w:val="008D6480"/>
    <w:rsid w:val="008D67F7"/>
    <w:rsid w:val="008D69FC"/>
    <w:rsid w:val="008D7BD8"/>
    <w:rsid w:val="008D7DF7"/>
    <w:rsid w:val="008D7F57"/>
    <w:rsid w:val="008E15B4"/>
    <w:rsid w:val="008E1781"/>
    <w:rsid w:val="008E2176"/>
    <w:rsid w:val="008E26D5"/>
    <w:rsid w:val="008E28B2"/>
    <w:rsid w:val="008E28DB"/>
    <w:rsid w:val="008E3F70"/>
    <w:rsid w:val="008E43DD"/>
    <w:rsid w:val="008E4DDC"/>
    <w:rsid w:val="008E54B3"/>
    <w:rsid w:val="008E5B0D"/>
    <w:rsid w:val="008E5E24"/>
    <w:rsid w:val="008E6250"/>
    <w:rsid w:val="008E6A7F"/>
    <w:rsid w:val="008E6D97"/>
    <w:rsid w:val="008E7C6D"/>
    <w:rsid w:val="008F0217"/>
    <w:rsid w:val="008F047A"/>
    <w:rsid w:val="008F04B6"/>
    <w:rsid w:val="008F04B8"/>
    <w:rsid w:val="008F079D"/>
    <w:rsid w:val="008F2AD3"/>
    <w:rsid w:val="008F3106"/>
    <w:rsid w:val="008F3345"/>
    <w:rsid w:val="008F37F4"/>
    <w:rsid w:val="008F4677"/>
    <w:rsid w:val="008F49F2"/>
    <w:rsid w:val="008F4F2C"/>
    <w:rsid w:val="008F50D0"/>
    <w:rsid w:val="008F58FE"/>
    <w:rsid w:val="008F59F1"/>
    <w:rsid w:val="008F5B6C"/>
    <w:rsid w:val="008F5C4F"/>
    <w:rsid w:val="008F63D7"/>
    <w:rsid w:val="008F7D82"/>
    <w:rsid w:val="00900441"/>
    <w:rsid w:val="00900448"/>
    <w:rsid w:val="009010BE"/>
    <w:rsid w:val="0090185F"/>
    <w:rsid w:val="00901EF6"/>
    <w:rsid w:val="00902212"/>
    <w:rsid w:val="00902AF6"/>
    <w:rsid w:val="0090350D"/>
    <w:rsid w:val="00903950"/>
    <w:rsid w:val="00905140"/>
    <w:rsid w:val="00905EC1"/>
    <w:rsid w:val="0090710A"/>
    <w:rsid w:val="00907935"/>
    <w:rsid w:val="0090794F"/>
    <w:rsid w:val="00910161"/>
    <w:rsid w:val="0091071F"/>
    <w:rsid w:val="009108CD"/>
    <w:rsid w:val="00910918"/>
    <w:rsid w:val="009114CE"/>
    <w:rsid w:val="009122FC"/>
    <w:rsid w:val="0091237A"/>
    <w:rsid w:val="00912584"/>
    <w:rsid w:val="00913F79"/>
    <w:rsid w:val="00914030"/>
    <w:rsid w:val="0091405C"/>
    <w:rsid w:val="0091483B"/>
    <w:rsid w:val="0091495A"/>
    <w:rsid w:val="00914A2B"/>
    <w:rsid w:val="00914E53"/>
    <w:rsid w:val="00915780"/>
    <w:rsid w:val="00915909"/>
    <w:rsid w:val="00916B91"/>
    <w:rsid w:val="00916C00"/>
    <w:rsid w:val="00917E4A"/>
    <w:rsid w:val="00920249"/>
    <w:rsid w:val="0092058D"/>
    <w:rsid w:val="00921C27"/>
    <w:rsid w:val="00922974"/>
    <w:rsid w:val="00922AB6"/>
    <w:rsid w:val="00922AB8"/>
    <w:rsid w:val="00922ADE"/>
    <w:rsid w:val="00922DF9"/>
    <w:rsid w:val="00922E56"/>
    <w:rsid w:val="009239CD"/>
    <w:rsid w:val="00924045"/>
    <w:rsid w:val="0092490E"/>
    <w:rsid w:val="00924C80"/>
    <w:rsid w:val="00925CC4"/>
    <w:rsid w:val="00926004"/>
    <w:rsid w:val="00926B5B"/>
    <w:rsid w:val="00926B7B"/>
    <w:rsid w:val="00926C24"/>
    <w:rsid w:val="009270C6"/>
    <w:rsid w:val="009278DE"/>
    <w:rsid w:val="0093268D"/>
    <w:rsid w:val="00932AD2"/>
    <w:rsid w:val="00932F14"/>
    <w:rsid w:val="009334F3"/>
    <w:rsid w:val="009335DA"/>
    <w:rsid w:val="00933A37"/>
    <w:rsid w:val="00933E88"/>
    <w:rsid w:val="009342A7"/>
    <w:rsid w:val="00934B45"/>
    <w:rsid w:val="009353A1"/>
    <w:rsid w:val="00935911"/>
    <w:rsid w:val="00935C8E"/>
    <w:rsid w:val="00935F92"/>
    <w:rsid w:val="00936539"/>
    <w:rsid w:val="009374A2"/>
    <w:rsid w:val="00940423"/>
    <w:rsid w:val="00940E0D"/>
    <w:rsid w:val="0094247F"/>
    <w:rsid w:val="00942D60"/>
    <w:rsid w:val="00943092"/>
    <w:rsid w:val="00943467"/>
    <w:rsid w:val="0094386D"/>
    <w:rsid w:val="00943E6B"/>
    <w:rsid w:val="00944BA4"/>
    <w:rsid w:val="00945383"/>
    <w:rsid w:val="00946256"/>
    <w:rsid w:val="009463FD"/>
    <w:rsid w:val="009469C9"/>
    <w:rsid w:val="00946B3A"/>
    <w:rsid w:val="00951180"/>
    <w:rsid w:val="00951375"/>
    <w:rsid w:val="00951DCE"/>
    <w:rsid w:val="00951FB4"/>
    <w:rsid w:val="009520CC"/>
    <w:rsid w:val="00952F71"/>
    <w:rsid w:val="00952FED"/>
    <w:rsid w:val="00953B9D"/>
    <w:rsid w:val="00954B02"/>
    <w:rsid w:val="00954C8A"/>
    <w:rsid w:val="009566EF"/>
    <w:rsid w:val="00956AB9"/>
    <w:rsid w:val="00957F60"/>
    <w:rsid w:val="009603F6"/>
    <w:rsid w:val="00961465"/>
    <w:rsid w:val="009614B4"/>
    <w:rsid w:val="00961544"/>
    <w:rsid w:val="009629B1"/>
    <w:rsid w:val="009631A8"/>
    <w:rsid w:val="009634D9"/>
    <w:rsid w:val="00963CC6"/>
    <w:rsid w:val="0096523B"/>
    <w:rsid w:val="00965696"/>
    <w:rsid w:val="00965714"/>
    <w:rsid w:val="009667AF"/>
    <w:rsid w:val="00966874"/>
    <w:rsid w:val="00966EE3"/>
    <w:rsid w:val="009670EB"/>
    <w:rsid w:val="00967BE9"/>
    <w:rsid w:val="00970050"/>
    <w:rsid w:val="009700B6"/>
    <w:rsid w:val="00970253"/>
    <w:rsid w:val="009711D4"/>
    <w:rsid w:val="009713F1"/>
    <w:rsid w:val="009715BF"/>
    <w:rsid w:val="00971B61"/>
    <w:rsid w:val="00972523"/>
    <w:rsid w:val="00972D06"/>
    <w:rsid w:val="009730AB"/>
    <w:rsid w:val="0097312E"/>
    <w:rsid w:val="00973F17"/>
    <w:rsid w:val="00974313"/>
    <w:rsid w:val="009748C6"/>
    <w:rsid w:val="00974B82"/>
    <w:rsid w:val="00974CE4"/>
    <w:rsid w:val="00975FE6"/>
    <w:rsid w:val="009766BB"/>
    <w:rsid w:val="00982163"/>
    <w:rsid w:val="00982BAA"/>
    <w:rsid w:val="00982CF7"/>
    <w:rsid w:val="00982D49"/>
    <w:rsid w:val="00983B2F"/>
    <w:rsid w:val="009840A0"/>
    <w:rsid w:val="009842C3"/>
    <w:rsid w:val="0098452E"/>
    <w:rsid w:val="00984670"/>
    <w:rsid w:val="0098521F"/>
    <w:rsid w:val="00985418"/>
    <w:rsid w:val="009862A1"/>
    <w:rsid w:val="00986CCD"/>
    <w:rsid w:val="00987502"/>
    <w:rsid w:val="00987B7C"/>
    <w:rsid w:val="009927EE"/>
    <w:rsid w:val="00992876"/>
    <w:rsid w:val="00992D94"/>
    <w:rsid w:val="009932A8"/>
    <w:rsid w:val="00993DBB"/>
    <w:rsid w:val="0099497B"/>
    <w:rsid w:val="00995032"/>
    <w:rsid w:val="00995261"/>
    <w:rsid w:val="00995681"/>
    <w:rsid w:val="0099578F"/>
    <w:rsid w:val="00995F07"/>
    <w:rsid w:val="00996B76"/>
    <w:rsid w:val="00996F8C"/>
    <w:rsid w:val="00997A47"/>
    <w:rsid w:val="00997F79"/>
    <w:rsid w:val="009A0074"/>
    <w:rsid w:val="009A01C2"/>
    <w:rsid w:val="009A0492"/>
    <w:rsid w:val="009A140F"/>
    <w:rsid w:val="009A16FC"/>
    <w:rsid w:val="009A1EAF"/>
    <w:rsid w:val="009A2CB8"/>
    <w:rsid w:val="009A391C"/>
    <w:rsid w:val="009A39AC"/>
    <w:rsid w:val="009A3B72"/>
    <w:rsid w:val="009A40CA"/>
    <w:rsid w:val="009A4796"/>
    <w:rsid w:val="009A482C"/>
    <w:rsid w:val="009A4BD4"/>
    <w:rsid w:val="009A4F0D"/>
    <w:rsid w:val="009A50F2"/>
    <w:rsid w:val="009A5E88"/>
    <w:rsid w:val="009A6002"/>
    <w:rsid w:val="009A6702"/>
    <w:rsid w:val="009B0D91"/>
    <w:rsid w:val="009B1690"/>
    <w:rsid w:val="009B187A"/>
    <w:rsid w:val="009B187D"/>
    <w:rsid w:val="009B1EAE"/>
    <w:rsid w:val="009B20D4"/>
    <w:rsid w:val="009B4805"/>
    <w:rsid w:val="009B539C"/>
    <w:rsid w:val="009B5F0C"/>
    <w:rsid w:val="009B627B"/>
    <w:rsid w:val="009B6FDE"/>
    <w:rsid w:val="009B7238"/>
    <w:rsid w:val="009B7487"/>
    <w:rsid w:val="009B7AD3"/>
    <w:rsid w:val="009B7F11"/>
    <w:rsid w:val="009C04E4"/>
    <w:rsid w:val="009C0584"/>
    <w:rsid w:val="009C1213"/>
    <w:rsid w:val="009C1294"/>
    <w:rsid w:val="009C1938"/>
    <w:rsid w:val="009C2127"/>
    <w:rsid w:val="009C2828"/>
    <w:rsid w:val="009C2B85"/>
    <w:rsid w:val="009C39DD"/>
    <w:rsid w:val="009C3B01"/>
    <w:rsid w:val="009C4322"/>
    <w:rsid w:val="009C497C"/>
    <w:rsid w:val="009C4BEA"/>
    <w:rsid w:val="009C5659"/>
    <w:rsid w:val="009C7E98"/>
    <w:rsid w:val="009D002D"/>
    <w:rsid w:val="009D058E"/>
    <w:rsid w:val="009D1133"/>
    <w:rsid w:val="009D16FC"/>
    <w:rsid w:val="009D22E7"/>
    <w:rsid w:val="009D239A"/>
    <w:rsid w:val="009D2887"/>
    <w:rsid w:val="009D4697"/>
    <w:rsid w:val="009D4AC7"/>
    <w:rsid w:val="009D4C21"/>
    <w:rsid w:val="009D585E"/>
    <w:rsid w:val="009D5C8C"/>
    <w:rsid w:val="009D779C"/>
    <w:rsid w:val="009D77E1"/>
    <w:rsid w:val="009D790B"/>
    <w:rsid w:val="009D7CDD"/>
    <w:rsid w:val="009E0A61"/>
    <w:rsid w:val="009E1527"/>
    <w:rsid w:val="009E173A"/>
    <w:rsid w:val="009E1924"/>
    <w:rsid w:val="009E1DA2"/>
    <w:rsid w:val="009E2E9C"/>
    <w:rsid w:val="009E3010"/>
    <w:rsid w:val="009E32F9"/>
    <w:rsid w:val="009E39CA"/>
    <w:rsid w:val="009E3ABB"/>
    <w:rsid w:val="009E4937"/>
    <w:rsid w:val="009E517E"/>
    <w:rsid w:val="009E56C8"/>
    <w:rsid w:val="009E5E5E"/>
    <w:rsid w:val="009E6703"/>
    <w:rsid w:val="009E72AF"/>
    <w:rsid w:val="009E78F6"/>
    <w:rsid w:val="009E79A3"/>
    <w:rsid w:val="009E7EE2"/>
    <w:rsid w:val="009F007E"/>
    <w:rsid w:val="009F0E46"/>
    <w:rsid w:val="009F1355"/>
    <w:rsid w:val="009F1BCF"/>
    <w:rsid w:val="009F2615"/>
    <w:rsid w:val="009F2DCF"/>
    <w:rsid w:val="009F4411"/>
    <w:rsid w:val="009F4DF5"/>
    <w:rsid w:val="009F4E46"/>
    <w:rsid w:val="009F576C"/>
    <w:rsid w:val="009F6170"/>
    <w:rsid w:val="009F7065"/>
    <w:rsid w:val="009F7368"/>
    <w:rsid w:val="009F76E4"/>
    <w:rsid w:val="00A0061F"/>
    <w:rsid w:val="00A00797"/>
    <w:rsid w:val="00A0111C"/>
    <w:rsid w:val="00A016AA"/>
    <w:rsid w:val="00A03489"/>
    <w:rsid w:val="00A03513"/>
    <w:rsid w:val="00A035D1"/>
    <w:rsid w:val="00A03740"/>
    <w:rsid w:val="00A058DF"/>
    <w:rsid w:val="00A05ED6"/>
    <w:rsid w:val="00A05F7B"/>
    <w:rsid w:val="00A06016"/>
    <w:rsid w:val="00A06B00"/>
    <w:rsid w:val="00A06CCB"/>
    <w:rsid w:val="00A076B9"/>
    <w:rsid w:val="00A07B3F"/>
    <w:rsid w:val="00A107F3"/>
    <w:rsid w:val="00A11519"/>
    <w:rsid w:val="00A11F81"/>
    <w:rsid w:val="00A12B44"/>
    <w:rsid w:val="00A1329C"/>
    <w:rsid w:val="00A13323"/>
    <w:rsid w:val="00A13D49"/>
    <w:rsid w:val="00A13EA7"/>
    <w:rsid w:val="00A143D1"/>
    <w:rsid w:val="00A14454"/>
    <w:rsid w:val="00A1498D"/>
    <w:rsid w:val="00A14C30"/>
    <w:rsid w:val="00A15332"/>
    <w:rsid w:val="00A153CB"/>
    <w:rsid w:val="00A15BF8"/>
    <w:rsid w:val="00A15DDA"/>
    <w:rsid w:val="00A16454"/>
    <w:rsid w:val="00A1693B"/>
    <w:rsid w:val="00A20DC8"/>
    <w:rsid w:val="00A21018"/>
    <w:rsid w:val="00A210C2"/>
    <w:rsid w:val="00A21A92"/>
    <w:rsid w:val="00A22801"/>
    <w:rsid w:val="00A22C0B"/>
    <w:rsid w:val="00A24BB9"/>
    <w:rsid w:val="00A25B70"/>
    <w:rsid w:val="00A26D41"/>
    <w:rsid w:val="00A27751"/>
    <w:rsid w:val="00A313BF"/>
    <w:rsid w:val="00A317F2"/>
    <w:rsid w:val="00A31AB0"/>
    <w:rsid w:val="00A31B0D"/>
    <w:rsid w:val="00A3213B"/>
    <w:rsid w:val="00A3335D"/>
    <w:rsid w:val="00A34396"/>
    <w:rsid w:val="00A34B0B"/>
    <w:rsid w:val="00A34EA3"/>
    <w:rsid w:val="00A36620"/>
    <w:rsid w:val="00A3676D"/>
    <w:rsid w:val="00A36F51"/>
    <w:rsid w:val="00A40193"/>
    <w:rsid w:val="00A40AF2"/>
    <w:rsid w:val="00A40EAD"/>
    <w:rsid w:val="00A41035"/>
    <w:rsid w:val="00A4108E"/>
    <w:rsid w:val="00A414CF"/>
    <w:rsid w:val="00A4175D"/>
    <w:rsid w:val="00A429A4"/>
    <w:rsid w:val="00A429E1"/>
    <w:rsid w:val="00A4358D"/>
    <w:rsid w:val="00A44756"/>
    <w:rsid w:val="00A47FD2"/>
    <w:rsid w:val="00A5015E"/>
    <w:rsid w:val="00A509A5"/>
    <w:rsid w:val="00A51421"/>
    <w:rsid w:val="00A52740"/>
    <w:rsid w:val="00A52C86"/>
    <w:rsid w:val="00A534C1"/>
    <w:rsid w:val="00A535C0"/>
    <w:rsid w:val="00A5373D"/>
    <w:rsid w:val="00A53AA3"/>
    <w:rsid w:val="00A54934"/>
    <w:rsid w:val="00A54B1B"/>
    <w:rsid w:val="00A559D0"/>
    <w:rsid w:val="00A55B8F"/>
    <w:rsid w:val="00A56254"/>
    <w:rsid w:val="00A563D3"/>
    <w:rsid w:val="00A56DC7"/>
    <w:rsid w:val="00A56E34"/>
    <w:rsid w:val="00A6000F"/>
    <w:rsid w:val="00A6016F"/>
    <w:rsid w:val="00A60529"/>
    <w:rsid w:val="00A605EE"/>
    <w:rsid w:val="00A60CC9"/>
    <w:rsid w:val="00A60E5A"/>
    <w:rsid w:val="00A61063"/>
    <w:rsid w:val="00A62BE9"/>
    <w:rsid w:val="00A62C3E"/>
    <w:rsid w:val="00A62F6E"/>
    <w:rsid w:val="00A64466"/>
    <w:rsid w:val="00A649BD"/>
    <w:rsid w:val="00A65110"/>
    <w:rsid w:val="00A6538D"/>
    <w:rsid w:val="00A65DEF"/>
    <w:rsid w:val="00A66A24"/>
    <w:rsid w:val="00A673B3"/>
    <w:rsid w:val="00A676C2"/>
    <w:rsid w:val="00A67A31"/>
    <w:rsid w:val="00A67DC5"/>
    <w:rsid w:val="00A701E5"/>
    <w:rsid w:val="00A701FB"/>
    <w:rsid w:val="00A70B16"/>
    <w:rsid w:val="00A70CF1"/>
    <w:rsid w:val="00A70FBE"/>
    <w:rsid w:val="00A71061"/>
    <w:rsid w:val="00A7124B"/>
    <w:rsid w:val="00A719D6"/>
    <w:rsid w:val="00A71CAE"/>
    <w:rsid w:val="00A72908"/>
    <w:rsid w:val="00A7382A"/>
    <w:rsid w:val="00A74778"/>
    <w:rsid w:val="00A747F0"/>
    <w:rsid w:val="00A74BB8"/>
    <w:rsid w:val="00A74FD1"/>
    <w:rsid w:val="00A75415"/>
    <w:rsid w:val="00A76C2B"/>
    <w:rsid w:val="00A76F01"/>
    <w:rsid w:val="00A7730A"/>
    <w:rsid w:val="00A77A32"/>
    <w:rsid w:val="00A77D2F"/>
    <w:rsid w:val="00A80363"/>
    <w:rsid w:val="00A81139"/>
    <w:rsid w:val="00A817D0"/>
    <w:rsid w:val="00A835F2"/>
    <w:rsid w:val="00A837E9"/>
    <w:rsid w:val="00A8385D"/>
    <w:rsid w:val="00A838C1"/>
    <w:rsid w:val="00A83C1A"/>
    <w:rsid w:val="00A84A58"/>
    <w:rsid w:val="00A8506B"/>
    <w:rsid w:val="00A850CE"/>
    <w:rsid w:val="00A85ECE"/>
    <w:rsid w:val="00A86887"/>
    <w:rsid w:val="00A8748B"/>
    <w:rsid w:val="00A87A2E"/>
    <w:rsid w:val="00A87D78"/>
    <w:rsid w:val="00A9017C"/>
    <w:rsid w:val="00A90190"/>
    <w:rsid w:val="00A901C5"/>
    <w:rsid w:val="00A90205"/>
    <w:rsid w:val="00A912F0"/>
    <w:rsid w:val="00A91DF1"/>
    <w:rsid w:val="00A9207E"/>
    <w:rsid w:val="00A9212E"/>
    <w:rsid w:val="00A92232"/>
    <w:rsid w:val="00A9367E"/>
    <w:rsid w:val="00A93B8A"/>
    <w:rsid w:val="00A940B3"/>
    <w:rsid w:val="00A9460D"/>
    <w:rsid w:val="00A94938"/>
    <w:rsid w:val="00A94BCF"/>
    <w:rsid w:val="00A94EEC"/>
    <w:rsid w:val="00A95921"/>
    <w:rsid w:val="00A9629E"/>
    <w:rsid w:val="00A97A08"/>
    <w:rsid w:val="00AA0C67"/>
    <w:rsid w:val="00AA1788"/>
    <w:rsid w:val="00AA1C29"/>
    <w:rsid w:val="00AA559E"/>
    <w:rsid w:val="00AA5DA7"/>
    <w:rsid w:val="00AA7847"/>
    <w:rsid w:val="00AA79CF"/>
    <w:rsid w:val="00AB0275"/>
    <w:rsid w:val="00AB08DE"/>
    <w:rsid w:val="00AB1025"/>
    <w:rsid w:val="00AB1AA1"/>
    <w:rsid w:val="00AB1E61"/>
    <w:rsid w:val="00AB2616"/>
    <w:rsid w:val="00AB284E"/>
    <w:rsid w:val="00AB2D41"/>
    <w:rsid w:val="00AB3C2D"/>
    <w:rsid w:val="00AB49AF"/>
    <w:rsid w:val="00AB5A24"/>
    <w:rsid w:val="00AB61C9"/>
    <w:rsid w:val="00AB6DCC"/>
    <w:rsid w:val="00AB74D1"/>
    <w:rsid w:val="00AB7CD1"/>
    <w:rsid w:val="00ABD387"/>
    <w:rsid w:val="00AC205A"/>
    <w:rsid w:val="00AC2291"/>
    <w:rsid w:val="00AC2586"/>
    <w:rsid w:val="00AC2B63"/>
    <w:rsid w:val="00AC3210"/>
    <w:rsid w:val="00AC35AD"/>
    <w:rsid w:val="00AC3A9A"/>
    <w:rsid w:val="00AC3C69"/>
    <w:rsid w:val="00AC3EB6"/>
    <w:rsid w:val="00AC5A05"/>
    <w:rsid w:val="00AC6CA6"/>
    <w:rsid w:val="00AC74CB"/>
    <w:rsid w:val="00AC74DC"/>
    <w:rsid w:val="00AC78CB"/>
    <w:rsid w:val="00AC7C44"/>
    <w:rsid w:val="00AD0B60"/>
    <w:rsid w:val="00AD16E7"/>
    <w:rsid w:val="00AD1736"/>
    <w:rsid w:val="00AD1A7A"/>
    <w:rsid w:val="00AD22F9"/>
    <w:rsid w:val="00AD2541"/>
    <w:rsid w:val="00AD27BB"/>
    <w:rsid w:val="00AD2D54"/>
    <w:rsid w:val="00AD3EDF"/>
    <w:rsid w:val="00AD4EF1"/>
    <w:rsid w:val="00AD6E0D"/>
    <w:rsid w:val="00AD6FDF"/>
    <w:rsid w:val="00AD6FED"/>
    <w:rsid w:val="00AD7632"/>
    <w:rsid w:val="00AD7A3D"/>
    <w:rsid w:val="00AD7E70"/>
    <w:rsid w:val="00AE017E"/>
    <w:rsid w:val="00AE1971"/>
    <w:rsid w:val="00AE2586"/>
    <w:rsid w:val="00AE2EA4"/>
    <w:rsid w:val="00AE3D89"/>
    <w:rsid w:val="00AE496D"/>
    <w:rsid w:val="00AE4E6E"/>
    <w:rsid w:val="00AE4EE9"/>
    <w:rsid w:val="00AE5430"/>
    <w:rsid w:val="00AE55B3"/>
    <w:rsid w:val="00AE66A7"/>
    <w:rsid w:val="00AE6A06"/>
    <w:rsid w:val="00AE757E"/>
    <w:rsid w:val="00AE766D"/>
    <w:rsid w:val="00AF06FC"/>
    <w:rsid w:val="00AF0808"/>
    <w:rsid w:val="00AF0946"/>
    <w:rsid w:val="00AF1EA5"/>
    <w:rsid w:val="00AF1EAA"/>
    <w:rsid w:val="00AF3391"/>
    <w:rsid w:val="00AF387F"/>
    <w:rsid w:val="00AF4437"/>
    <w:rsid w:val="00AF53D0"/>
    <w:rsid w:val="00AF5569"/>
    <w:rsid w:val="00AF5B06"/>
    <w:rsid w:val="00AF5CAE"/>
    <w:rsid w:val="00AF602C"/>
    <w:rsid w:val="00AF618D"/>
    <w:rsid w:val="00AF72F2"/>
    <w:rsid w:val="00B006A0"/>
    <w:rsid w:val="00B00E7F"/>
    <w:rsid w:val="00B01FD8"/>
    <w:rsid w:val="00B02B91"/>
    <w:rsid w:val="00B03203"/>
    <w:rsid w:val="00B032C9"/>
    <w:rsid w:val="00B036DE"/>
    <w:rsid w:val="00B037EA"/>
    <w:rsid w:val="00B05861"/>
    <w:rsid w:val="00B064DA"/>
    <w:rsid w:val="00B06565"/>
    <w:rsid w:val="00B07B2B"/>
    <w:rsid w:val="00B110BA"/>
    <w:rsid w:val="00B110E9"/>
    <w:rsid w:val="00B11B5F"/>
    <w:rsid w:val="00B11CEE"/>
    <w:rsid w:val="00B11E92"/>
    <w:rsid w:val="00B1287A"/>
    <w:rsid w:val="00B12D64"/>
    <w:rsid w:val="00B12D6D"/>
    <w:rsid w:val="00B12E3D"/>
    <w:rsid w:val="00B1303C"/>
    <w:rsid w:val="00B148DA"/>
    <w:rsid w:val="00B14BA9"/>
    <w:rsid w:val="00B14F70"/>
    <w:rsid w:val="00B15589"/>
    <w:rsid w:val="00B1602E"/>
    <w:rsid w:val="00B16A01"/>
    <w:rsid w:val="00B173DA"/>
    <w:rsid w:val="00B179CC"/>
    <w:rsid w:val="00B20598"/>
    <w:rsid w:val="00B21DCC"/>
    <w:rsid w:val="00B22044"/>
    <w:rsid w:val="00B2280D"/>
    <w:rsid w:val="00B229AD"/>
    <w:rsid w:val="00B239C9"/>
    <w:rsid w:val="00B24659"/>
    <w:rsid w:val="00B25F37"/>
    <w:rsid w:val="00B25F73"/>
    <w:rsid w:val="00B261E2"/>
    <w:rsid w:val="00B26275"/>
    <w:rsid w:val="00B265B3"/>
    <w:rsid w:val="00B26E34"/>
    <w:rsid w:val="00B30DE4"/>
    <w:rsid w:val="00B314EA"/>
    <w:rsid w:val="00B321F6"/>
    <w:rsid w:val="00B32B37"/>
    <w:rsid w:val="00B32DA4"/>
    <w:rsid w:val="00B33856"/>
    <w:rsid w:val="00B33A3D"/>
    <w:rsid w:val="00B33AD3"/>
    <w:rsid w:val="00B34058"/>
    <w:rsid w:val="00B34690"/>
    <w:rsid w:val="00B3484E"/>
    <w:rsid w:val="00B34CC4"/>
    <w:rsid w:val="00B34E96"/>
    <w:rsid w:val="00B3528B"/>
    <w:rsid w:val="00B35517"/>
    <w:rsid w:val="00B356D9"/>
    <w:rsid w:val="00B36986"/>
    <w:rsid w:val="00B36E25"/>
    <w:rsid w:val="00B372B6"/>
    <w:rsid w:val="00B37359"/>
    <w:rsid w:val="00B37EF3"/>
    <w:rsid w:val="00B402AA"/>
    <w:rsid w:val="00B40545"/>
    <w:rsid w:val="00B412A4"/>
    <w:rsid w:val="00B4148D"/>
    <w:rsid w:val="00B42CEA"/>
    <w:rsid w:val="00B44422"/>
    <w:rsid w:val="00B44CE1"/>
    <w:rsid w:val="00B462AD"/>
    <w:rsid w:val="00B4665C"/>
    <w:rsid w:val="00B46A9D"/>
    <w:rsid w:val="00B46EA0"/>
    <w:rsid w:val="00B505E6"/>
    <w:rsid w:val="00B50D71"/>
    <w:rsid w:val="00B51818"/>
    <w:rsid w:val="00B51851"/>
    <w:rsid w:val="00B51AFA"/>
    <w:rsid w:val="00B51E03"/>
    <w:rsid w:val="00B527D9"/>
    <w:rsid w:val="00B52AD2"/>
    <w:rsid w:val="00B532FF"/>
    <w:rsid w:val="00B540DB"/>
    <w:rsid w:val="00B544A1"/>
    <w:rsid w:val="00B54641"/>
    <w:rsid w:val="00B54A8B"/>
    <w:rsid w:val="00B55801"/>
    <w:rsid w:val="00B55AEC"/>
    <w:rsid w:val="00B5644E"/>
    <w:rsid w:val="00B56881"/>
    <w:rsid w:val="00B5795A"/>
    <w:rsid w:val="00B603B6"/>
    <w:rsid w:val="00B6076D"/>
    <w:rsid w:val="00B6182D"/>
    <w:rsid w:val="00B61BB0"/>
    <w:rsid w:val="00B62487"/>
    <w:rsid w:val="00B62711"/>
    <w:rsid w:val="00B63068"/>
    <w:rsid w:val="00B63724"/>
    <w:rsid w:val="00B644C0"/>
    <w:rsid w:val="00B64BDB"/>
    <w:rsid w:val="00B656A6"/>
    <w:rsid w:val="00B65710"/>
    <w:rsid w:val="00B65E9F"/>
    <w:rsid w:val="00B666D6"/>
    <w:rsid w:val="00B66D88"/>
    <w:rsid w:val="00B67428"/>
    <w:rsid w:val="00B67D5A"/>
    <w:rsid w:val="00B7103C"/>
    <w:rsid w:val="00B7180E"/>
    <w:rsid w:val="00B71F51"/>
    <w:rsid w:val="00B724D5"/>
    <w:rsid w:val="00B7264F"/>
    <w:rsid w:val="00B72B32"/>
    <w:rsid w:val="00B730DF"/>
    <w:rsid w:val="00B731D3"/>
    <w:rsid w:val="00B7364E"/>
    <w:rsid w:val="00B757E3"/>
    <w:rsid w:val="00B75B45"/>
    <w:rsid w:val="00B761F9"/>
    <w:rsid w:val="00B7623A"/>
    <w:rsid w:val="00B763B4"/>
    <w:rsid w:val="00B77167"/>
    <w:rsid w:val="00B7787E"/>
    <w:rsid w:val="00B77AE5"/>
    <w:rsid w:val="00B80544"/>
    <w:rsid w:val="00B808F5"/>
    <w:rsid w:val="00B80ADD"/>
    <w:rsid w:val="00B81A04"/>
    <w:rsid w:val="00B82439"/>
    <w:rsid w:val="00B824E4"/>
    <w:rsid w:val="00B826D9"/>
    <w:rsid w:val="00B8312E"/>
    <w:rsid w:val="00B832D1"/>
    <w:rsid w:val="00B839A3"/>
    <w:rsid w:val="00B84054"/>
    <w:rsid w:val="00B84A07"/>
    <w:rsid w:val="00B84AF5"/>
    <w:rsid w:val="00B852C6"/>
    <w:rsid w:val="00B853D2"/>
    <w:rsid w:val="00B8597F"/>
    <w:rsid w:val="00B85F91"/>
    <w:rsid w:val="00B8688A"/>
    <w:rsid w:val="00B8699F"/>
    <w:rsid w:val="00B86F92"/>
    <w:rsid w:val="00B8727C"/>
    <w:rsid w:val="00B902BD"/>
    <w:rsid w:val="00B90B4D"/>
    <w:rsid w:val="00B90B9A"/>
    <w:rsid w:val="00B915F0"/>
    <w:rsid w:val="00B919C1"/>
    <w:rsid w:val="00B92787"/>
    <w:rsid w:val="00B92A37"/>
    <w:rsid w:val="00B9346B"/>
    <w:rsid w:val="00B937CD"/>
    <w:rsid w:val="00B939C4"/>
    <w:rsid w:val="00B93DC6"/>
    <w:rsid w:val="00B93FEF"/>
    <w:rsid w:val="00B9418A"/>
    <w:rsid w:val="00B94E9E"/>
    <w:rsid w:val="00B961B9"/>
    <w:rsid w:val="00B9670A"/>
    <w:rsid w:val="00B9694C"/>
    <w:rsid w:val="00B97734"/>
    <w:rsid w:val="00B9786F"/>
    <w:rsid w:val="00BA111F"/>
    <w:rsid w:val="00BA1533"/>
    <w:rsid w:val="00BA1785"/>
    <w:rsid w:val="00BA24E2"/>
    <w:rsid w:val="00BA4023"/>
    <w:rsid w:val="00BA4F2B"/>
    <w:rsid w:val="00BA7617"/>
    <w:rsid w:val="00BB0634"/>
    <w:rsid w:val="00BB1075"/>
    <w:rsid w:val="00BB2642"/>
    <w:rsid w:val="00BB273D"/>
    <w:rsid w:val="00BB3DA7"/>
    <w:rsid w:val="00BB4262"/>
    <w:rsid w:val="00BB5930"/>
    <w:rsid w:val="00BB5E69"/>
    <w:rsid w:val="00BB6F14"/>
    <w:rsid w:val="00BC06F8"/>
    <w:rsid w:val="00BC0920"/>
    <w:rsid w:val="00BC09C3"/>
    <w:rsid w:val="00BC0D26"/>
    <w:rsid w:val="00BC1058"/>
    <w:rsid w:val="00BC1327"/>
    <w:rsid w:val="00BC1FDF"/>
    <w:rsid w:val="00BC2562"/>
    <w:rsid w:val="00BC2760"/>
    <w:rsid w:val="00BC2A60"/>
    <w:rsid w:val="00BC30A1"/>
    <w:rsid w:val="00BC3364"/>
    <w:rsid w:val="00BC484D"/>
    <w:rsid w:val="00BC58F0"/>
    <w:rsid w:val="00BC5CF3"/>
    <w:rsid w:val="00BC5DA0"/>
    <w:rsid w:val="00BC5EAC"/>
    <w:rsid w:val="00BC62A8"/>
    <w:rsid w:val="00BC66E1"/>
    <w:rsid w:val="00BC6D25"/>
    <w:rsid w:val="00BC6E0B"/>
    <w:rsid w:val="00BC780E"/>
    <w:rsid w:val="00BC7B77"/>
    <w:rsid w:val="00BD1362"/>
    <w:rsid w:val="00BD2481"/>
    <w:rsid w:val="00BD2732"/>
    <w:rsid w:val="00BD27D2"/>
    <w:rsid w:val="00BD2A31"/>
    <w:rsid w:val="00BD2A39"/>
    <w:rsid w:val="00BD2B90"/>
    <w:rsid w:val="00BD2B95"/>
    <w:rsid w:val="00BD2E80"/>
    <w:rsid w:val="00BD334C"/>
    <w:rsid w:val="00BD39EC"/>
    <w:rsid w:val="00BD4387"/>
    <w:rsid w:val="00BD47CB"/>
    <w:rsid w:val="00BD5567"/>
    <w:rsid w:val="00BD55D8"/>
    <w:rsid w:val="00BD56BE"/>
    <w:rsid w:val="00BD585A"/>
    <w:rsid w:val="00BD58B3"/>
    <w:rsid w:val="00BD650E"/>
    <w:rsid w:val="00BD6767"/>
    <w:rsid w:val="00BD69A4"/>
    <w:rsid w:val="00BD6A07"/>
    <w:rsid w:val="00BD7347"/>
    <w:rsid w:val="00BE0AC9"/>
    <w:rsid w:val="00BE10BD"/>
    <w:rsid w:val="00BE1161"/>
    <w:rsid w:val="00BE11B8"/>
    <w:rsid w:val="00BE1B7E"/>
    <w:rsid w:val="00BE1EA2"/>
    <w:rsid w:val="00BE1FB9"/>
    <w:rsid w:val="00BE3818"/>
    <w:rsid w:val="00BE3C6F"/>
    <w:rsid w:val="00BE5540"/>
    <w:rsid w:val="00BE61A9"/>
    <w:rsid w:val="00BE6726"/>
    <w:rsid w:val="00BE67B9"/>
    <w:rsid w:val="00BE67FF"/>
    <w:rsid w:val="00BE73B9"/>
    <w:rsid w:val="00BE79D9"/>
    <w:rsid w:val="00BF0029"/>
    <w:rsid w:val="00BF007C"/>
    <w:rsid w:val="00BF0233"/>
    <w:rsid w:val="00BF1289"/>
    <w:rsid w:val="00BF1391"/>
    <w:rsid w:val="00BF1BF1"/>
    <w:rsid w:val="00BF2A2E"/>
    <w:rsid w:val="00BF39FB"/>
    <w:rsid w:val="00BF420A"/>
    <w:rsid w:val="00BF4335"/>
    <w:rsid w:val="00BF434A"/>
    <w:rsid w:val="00BF45FA"/>
    <w:rsid w:val="00BF4CCE"/>
    <w:rsid w:val="00BF5EBC"/>
    <w:rsid w:val="00BF62EA"/>
    <w:rsid w:val="00BF665B"/>
    <w:rsid w:val="00BF7FF0"/>
    <w:rsid w:val="00C01D82"/>
    <w:rsid w:val="00C01F52"/>
    <w:rsid w:val="00C02175"/>
    <w:rsid w:val="00C026D8"/>
    <w:rsid w:val="00C029C7"/>
    <w:rsid w:val="00C02C19"/>
    <w:rsid w:val="00C02D51"/>
    <w:rsid w:val="00C02EB8"/>
    <w:rsid w:val="00C035EC"/>
    <w:rsid w:val="00C039DC"/>
    <w:rsid w:val="00C03B00"/>
    <w:rsid w:val="00C04204"/>
    <w:rsid w:val="00C04BEB"/>
    <w:rsid w:val="00C04C8A"/>
    <w:rsid w:val="00C06306"/>
    <w:rsid w:val="00C06615"/>
    <w:rsid w:val="00C068DD"/>
    <w:rsid w:val="00C109C3"/>
    <w:rsid w:val="00C10EC9"/>
    <w:rsid w:val="00C10F14"/>
    <w:rsid w:val="00C12502"/>
    <w:rsid w:val="00C1266C"/>
    <w:rsid w:val="00C12994"/>
    <w:rsid w:val="00C12CFF"/>
    <w:rsid w:val="00C14025"/>
    <w:rsid w:val="00C14FD2"/>
    <w:rsid w:val="00C15002"/>
    <w:rsid w:val="00C15432"/>
    <w:rsid w:val="00C166F5"/>
    <w:rsid w:val="00C1740C"/>
    <w:rsid w:val="00C17B91"/>
    <w:rsid w:val="00C205F2"/>
    <w:rsid w:val="00C20ADD"/>
    <w:rsid w:val="00C21C5D"/>
    <w:rsid w:val="00C22A7C"/>
    <w:rsid w:val="00C242AE"/>
    <w:rsid w:val="00C25AC8"/>
    <w:rsid w:val="00C25C27"/>
    <w:rsid w:val="00C25FE1"/>
    <w:rsid w:val="00C26671"/>
    <w:rsid w:val="00C26A8B"/>
    <w:rsid w:val="00C2741B"/>
    <w:rsid w:val="00C276EC"/>
    <w:rsid w:val="00C30475"/>
    <w:rsid w:val="00C304AB"/>
    <w:rsid w:val="00C304D1"/>
    <w:rsid w:val="00C30829"/>
    <w:rsid w:val="00C3098F"/>
    <w:rsid w:val="00C311CF"/>
    <w:rsid w:val="00C318C4"/>
    <w:rsid w:val="00C32031"/>
    <w:rsid w:val="00C32047"/>
    <w:rsid w:val="00C32AF5"/>
    <w:rsid w:val="00C33131"/>
    <w:rsid w:val="00C33525"/>
    <w:rsid w:val="00C33B5F"/>
    <w:rsid w:val="00C33B73"/>
    <w:rsid w:val="00C33D25"/>
    <w:rsid w:val="00C35565"/>
    <w:rsid w:val="00C3613D"/>
    <w:rsid w:val="00C36578"/>
    <w:rsid w:val="00C36B16"/>
    <w:rsid w:val="00C37B1C"/>
    <w:rsid w:val="00C401C3"/>
    <w:rsid w:val="00C4077F"/>
    <w:rsid w:val="00C40AA5"/>
    <w:rsid w:val="00C41365"/>
    <w:rsid w:val="00C414CD"/>
    <w:rsid w:val="00C41E04"/>
    <w:rsid w:val="00C41F69"/>
    <w:rsid w:val="00C42244"/>
    <w:rsid w:val="00C4237D"/>
    <w:rsid w:val="00C42600"/>
    <w:rsid w:val="00C42D1B"/>
    <w:rsid w:val="00C42D37"/>
    <w:rsid w:val="00C4335C"/>
    <w:rsid w:val="00C43371"/>
    <w:rsid w:val="00C437E0"/>
    <w:rsid w:val="00C43CDF"/>
    <w:rsid w:val="00C44185"/>
    <w:rsid w:val="00C44287"/>
    <w:rsid w:val="00C444C5"/>
    <w:rsid w:val="00C447B7"/>
    <w:rsid w:val="00C457DC"/>
    <w:rsid w:val="00C45B80"/>
    <w:rsid w:val="00C46982"/>
    <w:rsid w:val="00C46B3B"/>
    <w:rsid w:val="00C46F70"/>
    <w:rsid w:val="00C474BA"/>
    <w:rsid w:val="00C476D0"/>
    <w:rsid w:val="00C47BE8"/>
    <w:rsid w:val="00C5030E"/>
    <w:rsid w:val="00C50EC1"/>
    <w:rsid w:val="00C5112C"/>
    <w:rsid w:val="00C514C9"/>
    <w:rsid w:val="00C51824"/>
    <w:rsid w:val="00C51B97"/>
    <w:rsid w:val="00C5252E"/>
    <w:rsid w:val="00C52F81"/>
    <w:rsid w:val="00C53898"/>
    <w:rsid w:val="00C53AF6"/>
    <w:rsid w:val="00C54300"/>
    <w:rsid w:val="00C54C21"/>
    <w:rsid w:val="00C54CAE"/>
    <w:rsid w:val="00C55930"/>
    <w:rsid w:val="00C564E9"/>
    <w:rsid w:val="00C56DD6"/>
    <w:rsid w:val="00C56F71"/>
    <w:rsid w:val="00C6036D"/>
    <w:rsid w:val="00C60AA8"/>
    <w:rsid w:val="00C626AD"/>
    <w:rsid w:val="00C628AA"/>
    <w:rsid w:val="00C63273"/>
    <w:rsid w:val="00C6337B"/>
    <w:rsid w:val="00C634A2"/>
    <w:rsid w:val="00C63580"/>
    <w:rsid w:val="00C640F5"/>
    <w:rsid w:val="00C642E3"/>
    <w:rsid w:val="00C64ADB"/>
    <w:rsid w:val="00C64E99"/>
    <w:rsid w:val="00C659CC"/>
    <w:rsid w:val="00C66505"/>
    <w:rsid w:val="00C66906"/>
    <w:rsid w:val="00C66E43"/>
    <w:rsid w:val="00C671EA"/>
    <w:rsid w:val="00C67EB8"/>
    <w:rsid w:val="00C70B2C"/>
    <w:rsid w:val="00C710E7"/>
    <w:rsid w:val="00C714FC"/>
    <w:rsid w:val="00C71634"/>
    <w:rsid w:val="00C7176F"/>
    <w:rsid w:val="00C7249E"/>
    <w:rsid w:val="00C72E88"/>
    <w:rsid w:val="00C7385D"/>
    <w:rsid w:val="00C7405F"/>
    <w:rsid w:val="00C7468D"/>
    <w:rsid w:val="00C74835"/>
    <w:rsid w:val="00C74BBF"/>
    <w:rsid w:val="00C75927"/>
    <w:rsid w:val="00C7658D"/>
    <w:rsid w:val="00C77023"/>
    <w:rsid w:val="00C77F12"/>
    <w:rsid w:val="00C80387"/>
    <w:rsid w:val="00C8074C"/>
    <w:rsid w:val="00C80B01"/>
    <w:rsid w:val="00C80F7C"/>
    <w:rsid w:val="00C811B4"/>
    <w:rsid w:val="00C8138F"/>
    <w:rsid w:val="00C81408"/>
    <w:rsid w:val="00C81603"/>
    <w:rsid w:val="00C8316B"/>
    <w:rsid w:val="00C836E3"/>
    <w:rsid w:val="00C841B2"/>
    <w:rsid w:val="00C841D2"/>
    <w:rsid w:val="00C85DA9"/>
    <w:rsid w:val="00C86577"/>
    <w:rsid w:val="00C879E9"/>
    <w:rsid w:val="00C87D3B"/>
    <w:rsid w:val="00C90591"/>
    <w:rsid w:val="00C90B42"/>
    <w:rsid w:val="00C911EC"/>
    <w:rsid w:val="00C9124C"/>
    <w:rsid w:val="00C91B32"/>
    <w:rsid w:val="00C9274F"/>
    <w:rsid w:val="00C92A2F"/>
    <w:rsid w:val="00C92E07"/>
    <w:rsid w:val="00C9349A"/>
    <w:rsid w:val="00C94288"/>
    <w:rsid w:val="00C94942"/>
    <w:rsid w:val="00C959EA"/>
    <w:rsid w:val="00C95A55"/>
    <w:rsid w:val="00C96868"/>
    <w:rsid w:val="00C96A50"/>
    <w:rsid w:val="00C96DD1"/>
    <w:rsid w:val="00C96DD5"/>
    <w:rsid w:val="00C971B7"/>
    <w:rsid w:val="00CA0416"/>
    <w:rsid w:val="00CA150E"/>
    <w:rsid w:val="00CA18EB"/>
    <w:rsid w:val="00CA1ADC"/>
    <w:rsid w:val="00CA25BE"/>
    <w:rsid w:val="00CA2864"/>
    <w:rsid w:val="00CA2BDC"/>
    <w:rsid w:val="00CA3C65"/>
    <w:rsid w:val="00CA494E"/>
    <w:rsid w:val="00CA4FEB"/>
    <w:rsid w:val="00CA5076"/>
    <w:rsid w:val="00CA60A5"/>
    <w:rsid w:val="00CA6B73"/>
    <w:rsid w:val="00CA7289"/>
    <w:rsid w:val="00CA783D"/>
    <w:rsid w:val="00CA7F35"/>
    <w:rsid w:val="00CB01B3"/>
    <w:rsid w:val="00CB0A42"/>
    <w:rsid w:val="00CB0F88"/>
    <w:rsid w:val="00CB0FF2"/>
    <w:rsid w:val="00CB1375"/>
    <w:rsid w:val="00CB1D7D"/>
    <w:rsid w:val="00CB217A"/>
    <w:rsid w:val="00CB2D7C"/>
    <w:rsid w:val="00CB3710"/>
    <w:rsid w:val="00CB3C93"/>
    <w:rsid w:val="00CB5110"/>
    <w:rsid w:val="00CB5CA0"/>
    <w:rsid w:val="00CB6173"/>
    <w:rsid w:val="00CB620F"/>
    <w:rsid w:val="00CB6459"/>
    <w:rsid w:val="00CB64EE"/>
    <w:rsid w:val="00CB7B7A"/>
    <w:rsid w:val="00CC0372"/>
    <w:rsid w:val="00CC0B81"/>
    <w:rsid w:val="00CC0E18"/>
    <w:rsid w:val="00CC134C"/>
    <w:rsid w:val="00CC16BE"/>
    <w:rsid w:val="00CC2028"/>
    <w:rsid w:val="00CC2981"/>
    <w:rsid w:val="00CC2A92"/>
    <w:rsid w:val="00CC36E7"/>
    <w:rsid w:val="00CC4969"/>
    <w:rsid w:val="00CC4E1E"/>
    <w:rsid w:val="00CC5098"/>
    <w:rsid w:val="00CC54C7"/>
    <w:rsid w:val="00CC560B"/>
    <w:rsid w:val="00CC5D53"/>
    <w:rsid w:val="00CC5F8F"/>
    <w:rsid w:val="00CC6AEC"/>
    <w:rsid w:val="00CC6D7B"/>
    <w:rsid w:val="00CC6F77"/>
    <w:rsid w:val="00CC73FA"/>
    <w:rsid w:val="00CC75E2"/>
    <w:rsid w:val="00CC7617"/>
    <w:rsid w:val="00CC7BAF"/>
    <w:rsid w:val="00CD010B"/>
    <w:rsid w:val="00CD0731"/>
    <w:rsid w:val="00CD0914"/>
    <w:rsid w:val="00CD0BCE"/>
    <w:rsid w:val="00CD0E59"/>
    <w:rsid w:val="00CD140D"/>
    <w:rsid w:val="00CD14FB"/>
    <w:rsid w:val="00CD24C0"/>
    <w:rsid w:val="00CD24ED"/>
    <w:rsid w:val="00CD2DD9"/>
    <w:rsid w:val="00CD3C3C"/>
    <w:rsid w:val="00CD4362"/>
    <w:rsid w:val="00CD4528"/>
    <w:rsid w:val="00CD457E"/>
    <w:rsid w:val="00CD46EB"/>
    <w:rsid w:val="00CD49A3"/>
    <w:rsid w:val="00CD4BE5"/>
    <w:rsid w:val="00CD51EA"/>
    <w:rsid w:val="00CD5F0B"/>
    <w:rsid w:val="00CD6AB3"/>
    <w:rsid w:val="00CD6FAE"/>
    <w:rsid w:val="00CD777D"/>
    <w:rsid w:val="00CD7EBF"/>
    <w:rsid w:val="00CE0512"/>
    <w:rsid w:val="00CE0A71"/>
    <w:rsid w:val="00CE0AEB"/>
    <w:rsid w:val="00CE1883"/>
    <w:rsid w:val="00CE1A50"/>
    <w:rsid w:val="00CE200B"/>
    <w:rsid w:val="00CE25C8"/>
    <w:rsid w:val="00CE28E8"/>
    <w:rsid w:val="00CE295D"/>
    <w:rsid w:val="00CE304C"/>
    <w:rsid w:val="00CE34F0"/>
    <w:rsid w:val="00CE5565"/>
    <w:rsid w:val="00CE55E1"/>
    <w:rsid w:val="00CE5641"/>
    <w:rsid w:val="00CE5956"/>
    <w:rsid w:val="00CE76F6"/>
    <w:rsid w:val="00CE7EA9"/>
    <w:rsid w:val="00CF02DC"/>
    <w:rsid w:val="00CF054F"/>
    <w:rsid w:val="00CF14D6"/>
    <w:rsid w:val="00CF1CCF"/>
    <w:rsid w:val="00CF207B"/>
    <w:rsid w:val="00CF3532"/>
    <w:rsid w:val="00CF3728"/>
    <w:rsid w:val="00CF5133"/>
    <w:rsid w:val="00CF5C09"/>
    <w:rsid w:val="00CF68BC"/>
    <w:rsid w:val="00CF75A7"/>
    <w:rsid w:val="00CF7B36"/>
    <w:rsid w:val="00D0116D"/>
    <w:rsid w:val="00D013B9"/>
    <w:rsid w:val="00D0218C"/>
    <w:rsid w:val="00D027CB"/>
    <w:rsid w:val="00D037F0"/>
    <w:rsid w:val="00D04529"/>
    <w:rsid w:val="00D051D9"/>
    <w:rsid w:val="00D054C2"/>
    <w:rsid w:val="00D056F1"/>
    <w:rsid w:val="00D06083"/>
    <w:rsid w:val="00D06181"/>
    <w:rsid w:val="00D0619D"/>
    <w:rsid w:val="00D062E4"/>
    <w:rsid w:val="00D066D3"/>
    <w:rsid w:val="00D0698B"/>
    <w:rsid w:val="00D079E3"/>
    <w:rsid w:val="00D1064E"/>
    <w:rsid w:val="00D10F3B"/>
    <w:rsid w:val="00D11171"/>
    <w:rsid w:val="00D117BF"/>
    <w:rsid w:val="00D12D58"/>
    <w:rsid w:val="00D1381F"/>
    <w:rsid w:val="00D13EC4"/>
    <w:rsid w:val="00D14157"/>
    <w:rsid w:val="00D14405"/>
    <w:rsid w:val="00D145F4"/>
    <w:rsid w:val="00D1492F"/>
    <w:rsid w:val="00D149B3"/>
    <w:rsid w:val="00D171F5"/>
    <w:rsid w:val="00D17425"/>
    <w:rsid w:val="00D17FEE"/>
    <w:rsid w:val="00D2071E"/>
    <w:rsid w:val="00D20785"/>
    <w:rsid w:val="00D209C9"/>
    <w:rsid w:val="00D20F12"/>
    <w:rsid w:val="00D21351"/>
    <w:rsid w:val="00D21631"/>
    <w:rsid w:val="00D21A24"/>
    <w:rsid w:val="00D2256C"/>
    <w:rsid w:val="00D22F3C"/>
    <w:rsid w:val="00D23960"/>
    <w:rsid w:val="00D23DB6"/>
    <w:rsid w:val="00D24480"/>
    <w:rsid w:val="00D247F7"/>
    <w:rsid w:val="00D2492E"/>
    <w:rsid w:val="00D24CD8"/>
    <w:rsid w:val="00D24FEB"/>
    <w:rsid w:val="00D254D2"/>
    <w:rsid w:val="00D25DAB"/>
    <w:rsid w:val="00D26814"/>
    <w:rsid w:val="00D26945"/>
    <w:rsid w:val="00D27D19"/>
    <w:rsid w:val="00D306EE"/>
    <w:rsid w:val="00D316AE"/>
    <w:rsid w:val="00D3171B"/>
    <w:rsid w:val="00D319BF"/>
    <w:rsid w:val="00D3363F"/>
    <w:rsid w:val="00D3367F"/>
    <w:rsid w:val="00D33F56"/>
    <w:rsid w:val="00D34C4A"/>
    <w:rsid w:val="00D34D86"/>
    <w:rsid w:val="00D34F2F"/>
    <w:rsid w:val="00D35471"/>
    <w:rsid w:val="00D359A6"/>
    <w:rsid w:val="00D36006"/>
    <w:rsid w:val="00D36D23"/>
    <w:rsid w:val="00D3776C"/>
    <w:rsid w:val="00D37C9A"/>
    <w:rsid w:val="00D424F5"/>
    <w:rsid w:val="00D42574"/>
    <w:rsid w:val="00D4372D"/>
    <w:rsid w:val="00D43F01"/>
    <w:rsid w:val="00D43FE6"/>
    <w:rsid w:val="00D44538"/>
    <w:rsid w:val="00D44919"/>
    <w:rsid w:val="00D454FE"/>
    <w:rsid w:val="00D46132"/>
    <w:rsid w:val="00D4658F"/>
    <w:rsid w:val="00D469D3"/>
    <w:rsid w:val="00D4780D"/>
    <w:rsid w:val="00D47B75"/>
    <w:rsid w:val="00D50F99"/>
    <w:rsid w:val="00D5171D"/>
    <w:rsid w:val="00D51A95"/>
    <w:rsid w:val="00D51B67"/>
    <w:rsid w:val="00D51BEC"/>
    <w:rsid w:val="00D51D71"/>
    <w:rsid w:val="00D51F15"/>
    <w:rsid w:val="00D52244"/>
    <w:rsid w:val="00D5239F"/>
    <w:rsid w:val="00D52A43"/>
    <w:rsid w:val="00D52C66"/>
    <w:rsid w:val="00D53925"/>
    <w:rsid w:val="00D53BBF"/>
    <w:rsid w:val="00D54E04"/>
    <w:rsid w:val="00D55642"/>
    <w:rsid w:val="00D5588D"/>
    <w:rsid w:val="00D55B06"/>
    <w:rsid w:val="00D56B6B"/>
    <w:rsid w:val="00D6030F"/>
    <w:rsid w:val="00D60568"/>
    <w:rsid w:val="00D6057C"/>
    <w:rsid w:val="00D60B32"/>
    <w:rsid w:val="00D60D2B"/>
    <w:rsid w:val="00D6185F"/>
    <w:rsid w:val="00D61A83"/>
    <w:rsid w:val="00D62A9D"/>
    <w:rsid w:val="00D62B29"/>
    <w:rsid w:val="00D62B4F"/>
    <w:rsid w:val="00D6359D"/>
    <w:rsid w:val="00D637D1"/>
    <w:rsid w:val="00D64DF3"/>
    <w:rsid w:val="00D6502E"/>
    <w:rsid w:val="00D6517A"/>
    <w:rsid w:val="00D65BA3"/>
    <w:rsid w:val="00D66228"/>
    <w:rsid w:val="00D676CF"/>
    <w:rsid w:val="00D67A7F"/>
    <w:rsid w:val="00D70557"/>
    <w:rsid w:val="00D70AF1"/>
    <w:rsid w:val="00D70C7A"/>
    <w:rsid w:val="00D7166B"/>
    <w:rsid w:val="00D716B6"/>
    <w:rsid w:val="00D720AE"/>
    <w:rsid w:val="00D7305C"/>
    <w:rsid w:val="00D73931"/>
    <w:rsid w:val="00D74633"/>
    <w:rsid w:val="00D75966"/>
    <w:rsid w:val="00D760FF"/>
    <w:rsid w:val="00D76CB0"/>
    <w:rsid w:val="00D771A4"/>
    <w:rsid w:val="00D77630"/>
    <w:rsid w:val="00D77C12"/>
    <w:rsid w:val="00D80259"/>
    <w:rsid w:val="00D80CA6"/>
    <w:rsid w:val="00D811B1"/>
    <w:rsid w:val="00D812FF"/>
    <w:rsid w:val="00D81405"/>
    <w:rsid w:val="00D81D38"/>
    <w:rsid w:val="00D820BE"/>
    <w:rsid w:val="00D82126"/>
    <w:rsid w:val="00D832AB"/>
    <w:rsid w:val="00D835E2"/>
    <w:rsid w:val="00D8470F"/>
    <w:rsid w:val="00D8471A"/>
    <w:rsid w:val="00D848A4"/>
    <w:rsid w:val="00D85308"/>
    <w:rsid w:val="00D85382"/>
    <w:rsid w:val="00D85CB3"/>
    <w:rsid w:val="00D85E8C"/>
    <w:rsid w:val="00D868E0"/>
    <w:rsid w:val="00D87FE0"/>
    <w:rsid w:val="00D900F2"/>
    <w:rsid w:val="00D90E7B"/>
    <w:rsid w:val="00D91F28"/>
    <w:rsid w:val="00D9239E"/>
    <w:rsid w:val="00D92631"/>
    <w:rsid w:val="00D92858"/>
    <w:rsid w:val="00D9345B"/>
    <w:rsid w:val="00D94C99"/>
    <w:rsid w:val="00D95C73"/>
    <w:rsid w:val="00D95F4B"/>
    <w:rsid w:val="00D96344"/>
    <w:rsid w:val="00D968DC"/>
    <w:rsid w:val="00D97547"/>
    <w:rsid w:val="00DA0270"/>
    <w:rsid w:val="00DA10A8"/>
    <w:rsid w:val="00DA15A3"/>
    <w:rsid w:val="00DA1756"/>
    <w:rsid w:val="00DA1B4D"/>
    <w:rsid w:val="00DA275F"/>
    <w:rsid w:val="00DA27E3"/>
    <w:rsid w:val="00DA2DD8"/>
    <w:rsid w:val="00DA362E"/>
    <w:rsid w:val="00DA4F70"/>
    <w:rsid w:val="00DA5B16"/>
    <w:rsid w:val="00DA612A"/>
    <w:rsid w:val="00DA750E"/>
    <w:rsid w:val="00DA7B76"/>
    <w:rsid w:val="00DB057A"/>
    <w:rsid w:val="00DB0F73"/>
    <w:rsid w:val="00DB1E08"/>
    <w:rsid w:val="00DB2589"/>
    <w:rsid w:val="00DB2973"/>
    <w:rsid w:val="00DB2C3E"/>
    <w:rsid w:val="00DB2DF9"/>
    <w:rsid w:val="00DB324A"/>
    <w:rsid w:val="00DB33FB"/>
    <w:rsid w:val="00DB3E73"/>
    <w:rsid w:val="00DB58B4"/>
    <w:rsid w:val="00DB5A24"/>
    <w:rsid w:val="00DB65A3"/>
    <w:rsid w:val="00DB6D14"/>
    <w:rsid w:val="00DB74F0"/>
    <w:rsid w:val="00DB7A08"/>
    <w:rsid w:val="00DC087D"/>
    <w:rsid w:val="00DC0E0E"/>
    <w:rsid w:val="00DC0FED"/>
    <w:rsid w:val="00DC1209"/>
    <w:rsid w:val="00DC170A"/>
    <w:rsid w:val="00DC1B56"/>
    <w:rsid w:val="00DC1C4F"/>
    <w:rsid w:val="00DC2129"/>
    <w:rsid w:val="00DC23CA"/>
    <w:rsid w:val="00DC2E45"/>
    <w:rsid w:val="00DC2EF0"/>
    <w:rsid w:val="00DC2F52"/>
    <w:rsid w:val="00DC301B"/>
    <w:rsid w:val="00DC34F2"/>
    <w:rsid w:val="00DC3C72"/>
    <w:rsid w:val="00DC40EB"/>
    <w:rsid w:val="00DC4647"/>
    <w:rsid w:val="00DC4CA2"/>
    <w:rsid w:val="00DC4EDE"/>
    <w:rsid w:val="00DC5F8E"/>
    <w:rsid w:val="00DC6570"/>
    <w:rsid w:val="00DC6757"/>
    <w:rsid w:val="00DC6A82"/>
    <w:rsid w:val="00DC6BD9"/>
    <w:rsid w:val="00DC6D08"/>
    <w:rsid w:val="00DC6E27"/>
    <w:rsid w:val="00DC6E5B"/>
    <w:rsid w:val="00DC6EF2"/>
    <w:rsid w:val="00DD007D"/>
    <w:rsid w:val="00DD0278"/>
    <w:rsid w:val="00DD04DE"/>
    <w:rsid w:val="00DD0D90"/>
    <w:rsid w:val="00DD0FC7"/>
    <w:rsid w:val="00DD2762"/>
    <w:rsid w:val="00DD31FF"/>
    <w:rsid w:val="00DD3AA7"/>
    <w:rsid w:val="00DD3B0D"/>
    <w:rsid w:val="00DD3C5E"/>
    <w:rsid w:val="00DD3F58"/>
    <w:rsid w:val="00DD4427"/>
    <w:rsid w:val="00DD4EC6"/>
    <w:rsid w:val="00DD52E3"/>
    <w:rsid w:val="00DD56F1"/>
    <w:rsid w:val="00DD5BB6"/>
    <w:rsid w:val="00DD5DBE"/>
    <w:rsid w:val="00DD6933"/>
    <w:rsid w:val="00DE03E7"/>
    <w:rsid w:val="00DE0E81"/>
    <w:rsid w:val="00DE12D7"/>
    <w:rsid w:val="00DE13EE"/>
    <w:rsid w:val="00DE2766"/>
    <w:rsid w:val="00DE309E"/>
    <w:rsid w:val="00DE3111"/>
    <w:rsid w:val="00DE3861"/>
    <w:rsid w:val="00DE45D2"/>
    <w:rsid w:val="00DE60A3"/>
    <w:rsid w:val="00DE632F"/>
    <w:rsid w:val="00DE6BBB"/>
    <w:rsid w:val="00DE6CAE"/>
    <w:rsid w:val="00DE7294"/>
    <w:rsid w:val="00DE79D9"/>
    <w:rsid w:val="00DE7A76"/>
    <w:rsid w:val="00DF0957"/>
    <w:rsid w:val="00DF0C26"/>
    <w:rsid w:val="00DF0F67"/>
    <w:rsid w:val="00DF19E0"/>
    <w:rsid w:val="00DF23DD"/>
    <w:rsid w:val="00DF25C3"/>
    <w:rsid w:val="00DF25EE"/>
    <w:rsid w:val="00DF27CF"/>
    <w:rsid w:val="00DF2F77"/>
    <w:rsid w:val="00DF38CA"/>
    <w:rsid w:val="00DF3968"/>
    <w:rsid w:val="00DF4750"/>
    <w:rsid w:val="00DF4FA3"/>
    <w:rsid w:val="00DF500B"/>
    <w:rsid w:val="00DF56B1"/>
    <w:rsid w:val="00DF577E"/>
    <w:rsid w:val="00DF5C56"/>
    <w:rsid w:val="00DF6E6E"/>
    <w:rsid w:val="00DF7024"/>
    <w:rsid w:val="00DF736D"/>
    <w:rsid w:val="00DF7D36"/>
    <w:rsid w:val="00E00017"/>
    <w:rsid w:val="00E02118"/>
    <w:rsid w:val="00E02F59"/>
    <w:rsid w:val="00E0313B"/>
    <w:rsid w:val="00E0388E"/>
    <w:rsid w:val="00E038F8"/>
    <w:rsid w:val="00E04062"/>
    <w:rsid w:val="00E0430E"/>
    <w:rsid w:val="00E046D4"/>
    <w:rsid w:val="00E05220"/>
    <w:rsid w:val="00E052A1"/>
    <w:rsid w:val="00E05422"/>
    <w:rsid w:val="00E054EB"/>
    <w:rsid w:val="00E060CB"/>
    <w:rsid w:val="00E06249"/>
    <w:rsid w:val="00E063C6"/>
    <w:rsid w:val="00E06DEE"/>
    <w:rsid w:val="00E06F22"/>
    <w:rsid w:val="00E102C0"/>
    <w:rsid w:val="00E10913"/>
    <w:rsid w:val="00E115B6"/>
    <w:rsid w:val="00E117A2"/>
    <w:rsid w:val="00E12410"/>
    <w:rsid w:val="00E1358B"/>
    <w:rsid w:val="00E14286"/>
    <w:rsid w:val="00E1470E"/>
    <w:rsid w:val="00E15080"/>
    <w:rsid w:val="00E1635A"/>
    <w:rsid w:val="00E164D9"/>
    <w:rsid w:val="00E17170"/>
    <w:rsid w:val="00E1788C"/>
    <w:rsid w:val="00E17E59"/>
    <w:rsid w:val="00E2003B"/>
    <w:rsid w:val="00E203C2"/>
    <w:rsid w:val="00E20438"/>
    <w:rsid w:val="00E206B7"/>
    <w:rsid w:val="00E2099B"/>
    <w:rsid w:val="00E214F6"/>
    <w:rsid w:val="00E21FFD"/>
    <w:rsid w:val="00E22414"/>
    <w:rsid w:val="00E22C4D"/>
    <w:rsid w:val="00E22FD0"/>
    <w:rsid w:val="00E233AE"/>
    <w:rsid w:val="00E24A61"/>
    <w:rsid w:val="00E24D20"/>
    <w:rsid w:val="00E24DE8"/>
    <w:rsid w:val="00E25881"/>
    <w:rsid w:val="00E25A53"/>
    <w:rsid w:val="00E25DBD"/>
    <w:rsid w:val="00E26C2C"/>
    <w:rsid w:val="00E274E8"/>
    <w:rsid w:val="00E279D8"/>
    <w:rsid w:val="00E30188"/>
    <w:rsid w:val="00E30769"/>
    <w:rsid w:val="00E309AF"/>
    <w:rsid w:val="00E30F60"/>
    <w:rsid w:val="00E3107E"/>
    <w:rsid w:val="00E3150F"/>
    <w:rsid w:val="00E3152D"/>
    <w:rsid w:val="00E319B1"/>
    <w:rsid w:val="00E32460"/>
    <w:rsid w:val="00E3267B"/>
    <w:rsid w:val="00E343C2"/>
    <w:rsid w:val="00E34F6C"/>
    <w:rsid w:val="00E35D77"/>
    <w:rsid w:val="00E35F11"/>
    <w:rsid w:val="00E36826"/>
    <w:rsid w:val="00E36AC5"/>
    <w:rsid w:val="00E36C3D"/>
    <w:rsid w:val="00E376B3"/>
    <w:rsid w:val="00E37D2E"/>
    <w:rsid w:val="00E40438"/>
    <w:rsid w:val="00E40BBE"/>
    <w:rsid w:val="00E40ED4"/>
    <w:rsid w:val="00E411E1"/>
    <w:rsid w:val="00E41DB6"/>
    <w:rsid w:val="00E43536"/>
    <w:rsid w:val="00E44232"/>
    <w:rsid w:val="00E44BE1"/>
    <w:rsid w:val="00E44E0D"/>
    <w:rsid w:val="00E451D6"/>
    <w:rsid w:val="00E451E7"/>
    <w:rsid w:val="00E45D86"/>
    <w:rsid w:val="00E45D9C"/>
    <w:rsid w:val="00E45FA7"/>
    <w:rsid w:val="00E464E7"/>
    <w:rsid w:val="00E46D62"/>
    <w:rsid w:val="00E50655"/>
    <w:rsid w:val="00E520FE"/>
    <w:rsid w:val="00E535FD"/>
    <w:rsid w:val="00E5360A"/>
    <w:rsid w:val="00E54240"/>
    <w:rsid w:val="00E543DB"/>
    <w:rsid w:val="00E5492F"/>
    <w:rsid w:val="00E54C4B"/>
    <w:rsid w:val="00E550E4"/>
    <w:rsid w:val="00E553CF"/>
    <w:rsid w:val="00E559EF"/>
    <w:rsid w:val="00E56AD0"/>
    <w:rsid w:val="00E5742D"/>
    <w:rsid w:val="00E57710"/>
    <w:rsid w:val="00E57752"/>
    <w:rsid w:val="00E6091A"/>
    <w:rsid w:val="00E60C41"/>
    <w:rsid w:val="00E612ED"/>
    <w:rsid w:val="00E615C3"/>
    <w:rsid w:val="00E6230B"/>
    <w:rsid w:val="00E62DEF"/>
    <w:rsid w:val="00E635C5"/>
    <w:rsid w:val="00E63AD4"/>
    <w:rsid w:val="00E64A28"/>
    <w:rsid w:val="00E64AAB"/>
    <w:rsid w:val="00E64C8B"/>
    <w:rsid w:val="00E65D32"/>
    <w:rsid w:val="00E70235"/>
    <w:rsid w:val="00E70A86"/>
    <w:rsid w:val="00E70C51"/>
    <w:rsid w:val="00E716A9"/>
    <w:rsid w:val="00E71E30"/>
    <w:rsid w:val="00E72591"/>
    <w:rsid w:val="00E72650"/>
    <w:rsid w:val="00E728B3"/>
    <w:rsid w:val="00E73E13"/>
    <w:rsid w:val="00E73EBC"/>
    <w:rsid w:val="00E7437F"/>
    <w:rsid w:val="00E74BFF"/>
    <w:rsid w:val="00E7500B"/>
    <w:rsid w:val="00E75054"/>
    <w:rsid w:val="00E751D6"/>
    <w:rsid w:val="00E75CBC"/>
    <w:rsid w:val="00E76656"/>
    <w:rsid w:val="00E772FA"/>
    <w:rsid w:val="00E777EC"/>
    <w:rsid w:val="00E8077C"/>
    <w:rsid w:val="00E80DC1"/>
    <w:rsid w:val="00E80FCD"/>
    <w:rsid w:val="00E8147A"/>
    <w:rsid w:val="00E81F6E"/>
    <w:rsid w:val="00E82531"/>
    <w:rsid w:val="00E82833"/>
    <w:rsid w:val="00E8285F"/>
    <w:rsid w:val="00E82926"/>
    <w:rsid w:val="00E82CEA"/>
    <w:rsid w:val="00E83541"/>
    <w:rsid w:val="00E83710"/>
    <w:rsid w:val="00E83942"/>
    <w:rsid w:val="00E83998"/>
    <w:rsid w:val="00E84789"/>
    <w:rsid w:val="00E84E45"/>
    <w:rsid w:val="00E84ED9"/>
    <w:rsid w:val="00E85040"/>
    <w:rsid w:val="00E8534F"/>
    <w:rsid w:val="00E862D2"/>
    <w:rsid w:val="00E901B3"/>
    <w:rsid w:val="00E90627"/>
    <w:rsid w:val="00E909DE"/>
    <w:rsid w:val="00E91736"/>
    <w:rsid w:val="00E92F08"/>
    <w:rsid w:val="00E92F8A"/>
    <w:rsid w:val="00E933F5"/>
    <w:rsid w:val="00E94DF1"/>
    <w:rsid w:val="00E95173"/>
    <w:rsid w:val="00E95B17"/>
    <w:rsid w:val="00E95E12"/>
    <w:rsid w:val="00E967AF"/>
    <w:rsid w:val="00E96A90"/>
    <w:rsid w:val="00E96E64"/>
    <w:rsid w:val="00E975BD"/>
    <w:rsid w:val="00E97759"/>
    <w:rsid w:val="00E97E41"/>
    <w:rsid w:val="00EA09E6"/>
    <w:rsid w:val="00EA0D69"/>
    <w:rsid w:val="00EA1F25"/>
    <w:rsid w:val="00EA340C"/>
    <w:rsid w:val="00EA3513"/>
    <w:rsid w:val="00EA3C3D"/>
    <w:rsid w:val="00EA451D"/>
    <w:rsid w:val="00EA4727"/>
    <w:rsid w:val="00EA4CA0"/>
    <w:rsid w:val="00EA4E17"/>
    <w:rsid w:val="00EA4E47"/>
    <w:rsid w:val="00EA607B"/>
    <w:rsid w:val="00EA6147"/>
    <w:rsid w:val="00EA6A06"/>
    <w:rsid w:val="00EA7F2F"/>
    <w:rsid w:val="00EB1146"/>
    <w:rsid w:val="00EB2106"/>
    <w:rsid w:val="00EB3EB4"/>
    <w:rsid w:val="00EB460B"/>
    <w:rsid w:val="00EB56CF"/>
    <w:rsid w:val="00EB5C11"/>
    <w:rsid w:val="00EB5D15"/>
    <w:rsid w:val="00EB66D5"/>
    <w:rsid w:val="00EB68C7"/>
    <w:rsid w:val="00EB6D37"/>
    <w:rsid w:val="00EB7D82"/>
    <w:rsid w:val="00EC00DE"/>
    <w:rsid w:val="00EC03AF"/>
    <w:rsid w:val="00EC05BE"/>
    <w:rsid w:val="00EC0AB3"/>
    <w:rsid w:val="00EC0B68"/>
    <w:rsid w:val="00EC0E83"/>
    <w:rsid w:val="00EC1EDC"/>
    <w:rsid w:val="00EC25E3"/>
    <w:rsid w:val="00EC2F0B"/>
    <w:rsid w:val="00EC30E1"/>
    <w:rsid w:val="00EC6842"/>
    <w:rsid w:val="00EC76BF"/>
    <w:rsid w:val="00EC7CF3"/>
    <w:rsid w:val="00EC7E04"/>
    <w:rsid w:val="00ED03B1"/>
    <w:rsid w:val="00ED0A16"/>
    <w:rsid w:val="00ED0ED3"/>
    <w:rsid w:val="00ED1023"/>
    <w:rsid w:val="00ED172A"/>
    <w:rsid w:val="00ED1CC2"/>
    <w:rsid w:val="00ED256A"/>
    <w:rsid w:val="00ED2927"/>
    <w:rsid w:val="00ED3CBE"/>
    <w:rsid w:val="00ED5B4C"/>
    <w:rsid w:val="00ED6808"/>
    <w:rsid w:val="00ED7016"/>
    <w:rsid w:val="00EE0A23"/>
    <w:rsid w:val="00EE0DB8"/>
    <w:rsid w:val="00EE1A17"/>
    <w:rsid w:val="00EE1FB5"/>
    <w:rsid w:val="00EE2129"/>
    <w:rsid w:val="00EE2EDA"/>
    <w:rsid w:val="00EE37DD"/>
    <w:rsid w:val="00EE421A"/>
    <w:rsid w:val="00EE4253"/>
    <w:rsid w:val="00EE42F0"/>
    <w:rsid w:val="00EE4DA4"/>
    <w:rsid w:val="00EE518D"/>
    <w:rsid w:val="00EE544A"/>
    <w:rsid w:val="00EE55F6"/>
    <w:rsid w:val="00EE5D7E"/>
    <w:rsid w:val="00EE6519"/>
    <w:rsid w:val="00EE67F5"/>
    <w:rsid w:val="00EE6F2A"/>
    <w:rsid w:val="00EE7557"/>
    <w:rsid w:val="00EE769F"/>
    <w:rsid w:val="00EE79A3"/>
    <w:rsid w:val="00EE7ADF"/>
    <w:rsid w:val="00EF0035"/>
    <w:rsid w:val="00EF0A50"/>
    <w:rsid w:val="00EF11BD"/>
    <w:rsid w:val="00EF1709"/>
    <w:rsid w:val="00EF2E9D"/>
    <w:rsid w:val="00EF3290"/>
    <w:rsid w:val="00EF41AF"/>
    <w:rsid w:val="00EF501D"/>
    <w:rsid w:val="00EF537C"/>
    <w:rsid w:val="00EF6DAC"/>
    <w:rsid w:val="00EF7C34"/>
    <w:rsid w:val="00EF7D03"/>
    <w:rsid w:val="00F0055A"/>
    <w:rsid w:val="00F01BA9"/>
    <w:rsid w:val="00F02992"/>
    <w:rsid w:val="00F02A93"/>
    <w:rsid w:val="00F02CA4"/>
    <w:rsid w:val="00F0312C"/>
    <w:rsid w:val="00F039AE"/>
    <w:rsid w:val="00F03AE4"/>
    <w:rsid w:val="00F03C20"/>
    <w:rsid w:val="00F03D87"/>
    <w:rsid w:val="00F04064"/>
    <w:rsid w:val="00F0409F"/>
    <w:rsid w:val="00F0448F"/>
    <w:rsid w:val="00F048B8"/>
    <w:rsid w:val="00F04AEE"/>
    <w:rsid w:val="00F06C18"/>
    <w:rsid w:val="00F073BA"/>
    <w:rsid w:val="00F074D1"/>
    <w:rsid w:val="00F0750B"/>
    <w:rsid w:val="00F07A79"/>
    <w:rsid w:val="00F1047C"/>
    <w:rsid w:val="00F10496"/>
    <w:rsid w:val="00F1114F"/>
    <w:rsid w:val="00F1125B"/>
    <w:rsid w:val="00F1170A"/>
    <w:rsid w:val="00F11F75"/>
    <w:rsid w:val="00F126A7"/>
    <w:rsid w:val="00F13E47"/>
    <w:rsid w:val="00F1403A"/>
    <w:rsid w:val="00F14083"/>
    <w:rsid w:val="00F14210"/>
    <w:rsid w:val="00F14659"/>
    <w:rsid w:val="00F14BEC"/>
    <w:rsid w:val="00F159CC"/>
    <w:rsid w:val="00F167CF"/>
    <w:rsid w:val="00F16854"/>
    <w:rsid w:val="00F172EF"/>
    <w:rsid w:val="00F17674"/>
    <w:rsid w:val="00F17CF5"/>
    <w:rsid w:val="00F200D9"/>
    <w:rsid w:val="00F20355"/>
    <w:rsid w:val="00F20364"/>
    <w:rsid w:val="00F2090F"/>
    <w:rsid w:val="00F2165D"/>
    <w:rsid w:val="00F217A6"/>
    <w:rsid w:val="00F22240"/>
    <w:rsid w:val="00F225C5"/>
    <w:rsid w:val="00F226F5"/>
    <w:rsid w:val="00F22FD0"/>
    <w:rsid w:val="00F234BF"/>
    <w:rsid w:val="00F25437"/>
    <w:rsid w:val="00F2587A"/>
    <w:rsid w:val="00F26017"/>
    <w:rsid w:val="00F275D8"/>
    <w:rsid w:val="00F3038E"/>
    <w:rsid w:val="00F30781"/>
    <w:rsid w:val="00F30B92"/>
    <w:rsid w:val="00F3101B"/>
    <w:rsid w:val="00F31516"/>
    <w:rsid w:val="00F31E6F"/>
    <w:rsid w:val="00F32789"/>
    <w:rsid w:val="00F32EBA"/>
    <w:rsid w:val="00F336FF"/>
    <w:rsid w:val="00F33848"/>
    <w:rsid w:val="00F33BB8"/>
    <w:rsid w:val="00F33DF6"/>
    <w:rsid w:val="00F33F2C"/>
    <w:rsid w:val="00F34487"/>
    <w:rsid w:val="00F3452D"/>
    <w:rsid w:val="00F35DE0"/>
    <w:rsid w:val="00F35E50"/>
    <w:rsid w:val="00F367E7"/>
    <w:rsid w:val="00F3715D"/>
    <w:rsid w:val="00F379D7"/>
    <w:rsid w:val="00F37A1C"/>
    <w:rsid w:val="00F37C45"/>
    <w:rsid w:val="00F37CAA"/>
    <w:rsid w:val="00F37CAE"/>
    <w:rsid w:val="00F403C1"/>
    <w:rsid w:val="00F404B5"/>
    <w:rsid w:val="00F405AE"/>
    <w:rsid w:val="00F41B68"/>
    <w:rsid w:val="00F41DA5"/>
    <w:rsid w:val="00F41F3F"/>
    <w:rsid w:val="00F420C8"/>
    <w:rsid w:val="00F42503"/>
    <w:rsid w:val="00F42937"/>
    <w:rsid w:val="00F42A4C"/>
    <w:rsid w:val="00F42E2F"/>
    <w:rsid w:val="00F44270"/>
    <w:rsid w:val="00F44E5D"/>
    <w:rsid w:val="00F45243"/>
    <w:rsid w:val="00F45DA8"/>
    <w:rsid w:val="00F4602D"/>
    <w:rsid w:val="00F46084"/>
    <w:rsid w:val="00F46426"/>
    <w:rsid w:val="00F464B9"/>
    <w:rsid w:val="00F46C47"/>
    <w:rsid w:val="00F475ED"/>
    <w:rsid w:val="00F47CB9"/>
    <w:rsid w:val="00F50148"/>
    <w:rsid w:val="00F507F5"/>
    <w:rsid w:val="00F5113E"/>
    <w:rsid w:val="00F5151D"/>
    <w:rsid w:val="00F519F4"/>
    <w:rsid w:val="00F5225E"/>
    <w:rsid w:val="00F528D1"/>
    <w:rsid w:val="00F52C3D"/>
    <w:rsid w:val="00F52FF6"/>
    <w:rsid w:val="00F53B04"/>
    <w:rsid w:val="00F5415F"/>
    <w:rsid w:val="00F54CF5"/>
    <w:rsid w:val="00F56234"/>
    <w:rsid w:val="00F572D8"/>
    <w:rsid w:val="00F57AF4"/>
    <w:rsid w:val="00F57C09"/>
    <w:rsid w:val="00F57CB5"/>
    <w:rsid w:val="00F604DE"/>
    <w:rsid w:val="00F60C1A"/>
    <w:rsid w:val="00F60D16"/>
    <w:rsid w:val="00F61F7C"/>
    <w:rsid w:val="00F62243"/>
    <w:rsid w:val="00F641D2"/>
    <w:rsid w:val="00F64653"/>
    <w:rsid w:val="00F64D75"/>
    <w:rsid w:val="00F6563F"/>
    <w:rsid w:val="00F65795"/>
    <w:rsid w:val="00F66D85"/>
    <w:rsid w:val="00F6787A"/>
    <w:rsid w:val="00F67A5B"/>
    <w:rsid w:val="00F67CC5"/>
    <w:rsid w:val="00F7035E"/>
    <w:rsid w:val="00F70C1B"/>
    <w:rsid w:val="00F70C25"/>
    <w:rsid w:val="00F7110B"/>
    <w:rsid w:val="00F7134A"/>
    <w:rsid w:val="00F72876"/>
    <w:rsid w:val="00F72FDA"/>
    <w:rsid w:val="00F73432"/>
    <w:rsid w:val="00F73ADE"/>
    <w:rsid w:val="00F73BA2"/>
    <w:rsid w:val="00F73FB6"/>
    <w:rsid w:val="00F740A6"/>
    <w:rsid w:val="00F741C7"/>
    <w:rsid w:val="00F74AEA"/>
    <w:rsid w:val="00F74E69"/>
    <w:rsid w:val="00F757CE"/>
    <w:rsid w:val="00F76104"/>
    <w:rsid w:val="00F76321"/>
    <w:rsid w:val="00F76891"/>
    <w:rsid w:val="00F770ED"/>
    <w:rsid w:val="00F77447"/>
    <w:rsid w:val="00F77654"/>
    <w:rsid w:val="00F779F1"/>
    <w:rsid w:val="00F77C6B"/>
    <w:rsid w:val="00F80665"/>
    <w:rsid w:val="00F80E3A"/>
    <w:rsid w:val="00F8101B"/>
    <w:rsid w:val="00F816D0"/>
    <w:rsid w:val="00F817DC"/>
    <w:rsid w:val="00F84169"/>
    <w:rsid w:val="00F842A3"/>
    <w:rsid w:val="00F84354"/>
    <w:rsid w:val="00F843FC"/>
    <w:rsid w:val="00F84FE5"/>
    <w:rsid w:val="00F8531E"/>
    <w:rsid w:val="00F8752A"/>
    <w:rsid w:val="00F875C5"/>
    <w:rsid w:val="00F87641"/>
    <w:rsid w:val="00F8771F"/>
    <w:rsid w:val="00F877D8"/>
    <w:rsid w:val="00F87C71"/>
    <w:rsid w:val="00F91696"/>
    <w:rsid w:val="00F9191D"/>
    <w:rsid w:val="00F91EF3"/>
    <w:rsid w:val="00F91FE5"/>
    <w:rsid w:val="00F92156"/>
    <w:rsid w:val="00F93441"/>
    <w:rsid w:val="00F9396C"/>
    <w:rsid w:val="00F94B2F"/>
    <w:rsid w:val="00F96382"/>
    <w:rsid w:val="00F96475"/>
    <w:rsid w:val="00F9780B"/>
    <w:rsid w:val="00F9786A"/>
    <w:rsid w:val="00FA01A7"/>
    <w:rsid w:val="00FA02CB"/>
    <w:rsid w:val="00FA0E51"/>
    <w:rsid w:val="00FA1140"/>
    <w:rsid w:val="00FA3085"/>
    <w:rsid w:val="00FA34CB"/>
    <w:rsid w:val="00FA38F3"/>
    <w:rsid w:val="00FA57DC"/>
    <w:rsid w:val="00FA792F"/>
    <w:rsid w:val="00FB0AEE"/>
    <w:rsid w:val="00FB1533"/>
    <w:rsid w:val="00FB1F2F"/>
    <w:rsid w:val="00FB2947"/>
    <w:rsid w:val="00FB3461"/>
    <w:rsid w:val="00FB4A05"/>
    <w:rsid w:val="00FB4DE0"/>
    <w:rsid w:val="00FB4F15"/>
    <w:rsid w:val="00FB52EB"/>
    <w:rsid w:val="00FB5B80"/>
    <w:rsid w:val="00FB607D"/>
    <w:rsid w:val="00FB6277"/>
    <w:rsid w:val="00FB650D"/>
    <w:rsid w:val="00FB67A3"/>
    <w:rsid w:val="00FB6C96"/>
    <w:rsid w:val="00FB6D3D"/>
    <w:rsid w:val="00FB7512"/>
    <w:rsid w:val="00FB7709"/>
    <w:rsid w:val="00FC039E"/>
    <w:rsid w:val="00FC06E1"/>
    <w:rsid w:val="00FC0985"/>
    <w:rsid w:val="00FC0D52"/>
    <w:rsid w:val="00FC0F65"/>
    <w:rsid w:val="00FC1B0C"/>
    <w:rsid w:val="00FC1E4C"/>
    <w:rsid w:val="00FC2772"/>
    <w:rsid w:val="00FC28DE"/>
    <w:rsid w:val="00FC2AEA"/>
    <w:rsid w:val="00FC2E3B"/>
    <w:rsid w:val="00FC2F2D"/>
    <w:rsid w:val="00FC3260"/>
    <w:rsid w:val="00FC38F8"/>
    <w:rsid w:val="00FC39F2"/>
    <w:rsid w:val="00FC3A94"/>
    <w:rsid w:val="00FC3ACF"/>
    <w:rsid w:val="00FC4091"/>
    <w:rsid w:val="00FC4BB6"/>
    <w:rsid w:val="00FC51D9"/>
    <w:rsid w:val="00FC5365"/>
    <w:rsid w:val="00FC53F6"/>
    <w:rsid w:val="00FC55A9"/>
    <w:rsid w:val="00FC55E5"/>
    <w:rsid w:val="00FC5E83"/>
    <w:rsid w:val="00FC611A"/>
    <w:rsid w:val="00FC6BA2"/>
    <w:rsid w:val="00FC70A4"/>
    <w:rsid w:val="00FC7A72"/>
    <w:rsid w:val="00FC7B14"/>
    <w:rsid w:val="00FD0291"/>
    <w:rsid w:val="00FD12EA"/>
    <w:rsid w:val="00FD1E5C"/>
    <w:rsid w:val="00FD268D"/>
    <w:rsid w:val="00FD2BC6"/>
    <w:rsid w:val="00FD2FBE"/>
    <w:rsid w:val="00FD3491"/>
    <w:rsid w:val="00FD3900"/>
    <w:rsid w:val="00FD3E90"/>
    <w:rsid w:val="00FD3F45"/>
    <w:rsid w:val="00FD4C91"/>
    <w:rsid w:val="00FD4FE9"/>
    <w:rsid w:val="00FD5B27"/>
    <w:rsid w:val="00FD66AA"/>
    <w:rsid w:val="00FD7155"/>
    <w:rsid w:val="00FD72F0"/>
    <w:rsid w:val="00FD73AD"/>
    <w:rsid w:val="00FD7547"/>
    <w:rsid w:val="00FD7B06"/>
    <w:rsid w:val="00FE0397"/>
    <w:rsid w:val="00FE062B"/>
    <w:rsid w:val="00FE16F7"/>
    <w:rsid w:val="00FE197C"/>
    <w:rsid w:val="00FE2672"/>
    <w:rsid w:val="00FE27D9"/>
    <w:rsid w:val="00FE31D0"/>
    <w:rsid w:val="00FE3FA7"/>
    <w:rsid w:val="00FE424F"/>
    <w:rsid w:val="00FE466B"/>
    <w:rsid w:val="00FE511C"/>
    <w:rsid w:val="00FE5C45"/>
    <w:rsid w:val="00FE63A7"/>
    <w:rsid w:val="00FE6A84"/>
    <w:rsid w:val="00FE71AB"/>
    <w:rsid w:val="00FE77DF"/>
    <w:rsid w:val="00FE7D6B"/>
    <w:rsid w:val="00FE7D8C"/>
    <w:rsid w:val="00FF05B4"/>
    <w:rsid w:val="00FF05D2"/>
    <w:rsid w:val="00FF1217"/>
    <w:rsid w:val="00FF1669"/>
    <w:rsid w:val="00FF225B"/>
    <w:rsid w:val="00FF2981"/>
    <w:rsid w:val="00FF2DE6"/>
    <w:rsid w:val="00FF4623"/>
    <w:rsid w:val="00FF46D4"/>
    <w:rsid w:val="00FF501B"/>
    <w:rsid w:val="00FF5434"/>
    <w:rsid w:val="00FF562A"/>
    <w:rsid w:val="00FF5A6C"/>
    <w:rsid w:val="00FF5C43"/>
    <w:rsid w:val="00FF5C46"/>
    <w:rsid w:val="00FF5ED6"/>
    <w:rsid w:val="00FF5F5C"/>
    <w:rsid w:val="00FF5F93"/>
    <w:rsid w:val="00FF6114"/>
    <w:rsid w:val="00FF63A9"/>
    <w:rsid w:val="00FF7A0B"/>
    <w:rsid w:val="00FF7FF7"/>
    <w:rsid w:val="0104A013"/>
    <w:rsid w:val="011BEC1D"/>
    <w:rsid w:val="014A4494"/>
    <w:rsid w:val="01B53477"/>
    <w:rsid w:val="01C7F2B7"/>
    <w:rsid w:val="022ADAE5"/>
    <w:rsid w:val="023DD7A4"/>
    <w:rsid w:val="0255BC3A"/>
    <w:rsid w:val="026E89D6"/>
    <w:rsid w:val="02C73D3D"/>
    <w:rsid w:val="03B64666"/>
    <w:rsid w:val="03BBFD4A"/>
    <w:rsid w:val="03CB1306"/>
    <w:rsid w:val="043992C1"/>
    <w:rsid w:val="044F57FC"/>
    <w:rsid w:val="049F53B6"/>
    <w:rsid w:val="05325240"/>
    <w:rsid w:val="053F46DF"/>
    <w:rsid w:val="056E48CC"/>
    <w:rsid w:val="05AECF98"/>
    <w:rsid w:val="05B8F0EE"/>
    <w:rsid w:val="05BC51F3"/>
    <w:rsid w:val="05DE44BB"/>
    <w:rsid w:val="0652A2B2"/>
    <w:rsid w:val="069D5783"/>
    <w:rsid w:val="06AA6046"/>
    <w:rsid w:val="0709CA19"/>
    <w:rsid w:val="07110033"/>
    <w:rsid w:val="0727A478"/>
    <w:rsid w:val="076403E8"/>
    <w:rsid w:val="081BD6D3"/>
    <w:rsid w:val="08251DE3"/>
    <w:rsid w:val="087B2BA0"/>
    <w:rsid w:val="08858CF8"/>
    <w:rsid w:val="08F969D1"/>
    <w:rsid w:val="0978AFA1"/>
    <w:rsid w:val="099E3555"/>
    <w:rsid w:val="0A321A9D"/>
    <w:rsid w:val="0A762474"/>
    <w:rsid w:val="0A81B895"/>
    <w:rsid w:val="0A8E1393"/>
    <w:rsid w:val="0AA2C550"/>
    <w:rsid w:val="0B1A9B75"/>
    <w:rsid w:val="0B5FA5E6"/>
    <w:rsid w:val="0C29ED07"/>
    <w:rsid w:val="0C365EC3"/>
    <w:rsid w:val="0CF508C7"/>
    <w:rsid w:val="0CFAD5E5"/>
    <w:rsid w:val="0D1B8626"/>
    <w:rsid w:val="0D2B1E39"/>
    <w:rsid w:val="0D953EE9"/>
    <w:rsid w:val="0D959F89"/>
    <w:rsid w:val="0D968ECE"/>
    <w:rsid w:val="0E6AEC97"/>
    <w:rsid w:val="0EA5730A"/>
    <w:rsid w:val="0EF25405"/>
    <w:rsid w:val="0F8B6FF0"/>
    <w:rsid w:val="0F926A02"/>
    <w:rsid w:val="101E4D09"/>
    <w:rsid w:val="10AEA656"/>
    <w:rsid w:val="10C108AB"/>
    <w:rsid w:val="11123C3C"/>
    <w:rsid w:val="1114F330"/>
    <w:rsid w:val="112D271C"/>
    <w:rsid w:val="114C56DE"/>
    <w:rsid w:val="11B183F4"/>
    <w:rsid w:val="11CC819B"/>
    <w:rsid w:val="11ED39CB"/>
    <w:rsid w:val="11FD3BB4"/>
    <w:rsid w:val="12264164"/>
    <w:rsid w:val="1267BE0A"/>
    <w:rsid w:val="12BEE863"/>
    <w:rsid w:val="139D70A8"/>
    <w:rsid w:val="13A9BD6A"/>
    <w:rsid w:val="13DC14C4"/>
    <w:rsid w:val="13F40E31"/>
    <w:rsid w:val="14AA446F"/>
    <w:rsid w:val="14EA2FB7"/>
    <w:rsid w:val="14F77864"/>
    <w:rsid w:val="153644E1"/>
    <w:rsid w:val="15429D98"/>
    <w:rsid w:val="15528C51"/>
    <w:rsid w:val="156F616B"/>
    <w:rsid w:val="159088B7"/>
    <w:rsid w:val="15F4B825"/>
    <w:rsid w:val="164EAD93"/>
    <w:rsid w:val="165BFD84"/>
    <w:rsid w:val="16639000"/>
    <w:rsid w:val="16C5E5AF"/>
    <w:rsid w:val="17131E0E"/>
    <w:rsid w:val="17302228"/>
    <w:rsid w:val="174C3A6D"/>
    <w:rsid w:val="1754A77C"/>
    <w:rsid w:val="17603B9D"/>
    <w:rsid w:val="17D23538"/>
    <w:rsid w:val="186BBDC3"/>
    <w:rsid w:val="18B5E350"/>
    <w:rsid w:val="18CA0BB6"/>
    <w:rsid w:val="18D16C5C"/>
    <w:rsid w:val="19397478"/>
    <w:rsid w:val="1947F91D"/>
    <w:rsid w:val="194DDB07"/>
    <w:rsid w:val="1951FBC0"/>
    <w:rsid w:val="19565216"/>
    <w:rsid w:val="1969DF32"/>
    <w:rsid w:val="197BC681"/>
    <w:rsid w:val="198EAA36"/>
    <w:rsid w:val="19B5A45C"/>
    <w:rsid w:val="19D55CDE"/>
    <w:rsid w:val="19F14D3F"/>
    <w:rsid w:val="1A641AB1"/>
    <w:rsid w:val="1A97DC5F"/>
    <w:rsid w:val="1B9745E8"/>
    <w:rsid w:val="1BAAC5B7"/>
    <w:rsid w:val="1BCF73C6"/>
    <w:rsid w:val="1BD8DCDB"/>
    <w:rsid w:val="1CB580D9"/>
    <w:rsid w:val="1CFAD5A4"/>
    <w:rsid w:val="1D3B3A40"/>
    <w:rsid w:val="1D444895"/>
    <w:rsid w:val="1D7B11C3"/>
    <w:rsid w:val="1D93CEE8"/>
    <w:rsid w:val="1E1436A7"/>
    <w:rsid w:val="1E4DE70C"/>
    <w:rsid w:val="1E6D6B9F"/>
    <w:rsid w:val="1E83B6E4"/>
    <w:rsid w:val="1EF9AFEC"/>
    <w:rsid w:val="1F089466"/>
    <w:rsid w:val="1F11335E"/>
    <w:rsid w:val="1F3591E8"/>
    <w:rsid w:val="1F58BA9E"/>
    <w:rsid w:val="20B0D9A2"/>
    <w:rsid w:val="20F5BB2A"/>
    <w:rsid w:val="21071DE3"/>
    <w:rsid w:val="21246CE1"/>
    <w:rsid w:val="212571A7"/>
    <w:rsid w:val="21637CAF"/>
    <w:rsid w:val="2182ED80"/>
    <w:rsid w:val="227A62FC"/>
    <w:rsid w:val="22EBE192"/>
    <w:rsid w:val="234F289A"/>
    <w:rsid w:val="2377C0CD"/>
    <w:rsid w:val="238159E3"/>
    <w:rsid w:val="23E0DEA2"/>
    <w:rsid w:val="24139E9B"/>
    <w:rsid w:val="24307390"/>
    <w:rsid w:val="2475E2DB"/>
    <w:rsid w:val="24B4A48D"/>
    <w:rsid w:val="24EEB999"/>
    <w:rsid w:val="24F397A0"/>
    <w:rsid w:val="2519E96F"/>
    <w:rsid w:val="251DDE3A"/>
    <w:rsid w:val="2549DC49"/>
    <w:rsid w:val="25A8FF87"/>
    <w:rsid w:val="25AF6EFC"/>
    <w:rsid w:val="2618C156"/>
    <w:rsid w:val="26374C91"/>
    <w:rsid w:val="26EDFF8A"/>
    <w:rsid w:val="270E1351"/>
    <w:rsid w:val="275699C5"/>
    <w:rsid w:val="27F0FA7E"/>
    <w:rsid w:val="27F169BD"/>
    <w:rsid w:val="27F22EA2"/>
    <w:rsid w:val="27F72A86"/>
    <w:rsid w:val="281F1344"/>
    <w:rsid w:val="284F8407"/>
    <w:rsid w:val="284FAB37"/>
    <w:rsid w:val="285EDBA9"/>
    <w:rsid w:val="287FA588"/>
    <w:rsid w:val="28E0F960"/>
    <w:rsid w:val="29128E26"/>
    <w:rsid w:val="296067CD"/>
    <w:rsid w:val="2983EBCB"/>
    <w:rsid w:val="29C53BE4"/>
    <w:rsid w:val="2A1EE847"/>
    <w:rsid w:val="2A423DA8"/>
    <w:rsid w:val="2A45A129"/>
    <w:rsid w:val="2A65570C"/>
    <w:rsid w:val="2A69FFC3"/>
    <w:rsid w:val="2B25FA65"/>
    <w:rsid w:val="2B26291B"/>
    <w:rsid w:val="2B3A3026"/>
    <w:rsid w:val="2B92AC10"/>
    <w:rsid w:val="2BA8A8F0"/>
    <w:rsid w:val="2BC73229"/>
    <w:rsid w:val="2BF73F5F"/>
    <w:rsid w:val="2C225D18"/>
    <w:rsid w:val="2C24B138"/>
    <w:rsid w:val="2C3F157B"/>
    <w:rsid w:val="2C986FD4"/>
    <w:rsid w:val="2C9ACF8C"/>
    <w:rsid w:val="2C9C88F6"/>
    <w:rsid w:val="2CF9F43A"/>
    <w:rsid w:val="2D178A76"/>
    <w:rsid w:val="2D55EE4E"/>
    <w:rsid w:val="2D7B5C97"/>
    <w:rsid w:val="2D8FA2E0"/>
    <w:rsid w:val="2DCEB834"/>
    <w:rsid w:val="2DEBE85F"/>
    <w:rsid w:val="2E6A7BD5"/>
    <w:rsid w:val="2F447387"/>
    <w:rsid w:val="2F6328DE"/>
    <w:rsid w:val="2FC97817"/>
    <w:rsid w:val="3004D94F"/>
    <w:rsid w:val="301DA849"/>
    <w:rsid w:val="306D6EF2"/>
    <w:rsid w:val="30920584"/>
    <w:rsid w:val="30C8DE45"/>
    <w:rsid w:val="30E580E1"/>
    <w:rsid w:val="311316BA"/>
    <w:rsid w:val="312E6AEA"/>
    <w:rsid w:val="31CA5788"/>
    <w:rsid w:val="323CEB3D"/>
    <w:rsid w:val="323D1A7C"/>
    <w:rsid w:val="32CE7534"/>
    <w:rsid w:val="331E763F"/>
    <w:rsid w:val="3365ABBF"/>
    <w:rsid w:val="33A0E853"/>
    <w:rsid w:val="344011B5"/>
    <w:rsid w:val="344BD51D"/>
    <w:rsid w:val="34500151"/>
    <w:rsid w:val="347A00A8"/>
    <w:rsid w:val="349DAF14"/>
    <w:rsid w:val="34AB68AE"/>
    <w:rsid w:val="34C14CBC"/>
    <w:rsid w:val="350A0A31"/>
    <w:rsid w:val="3518F7D4"/>
    <w:rsid w:val="351BBAEC"/>
    <w:rsid w:val="355DEEC3"/>
    <w:rsid w:val="35FFFD70"/>
    <w:rsid w:val="368F72ED"/>
    <w:rsid w:val="36E08C9C"/>
    <w:rsid w:val="36EC2934"/>
    <w:rsid w:val="370992A3"/>
    <w:rsid w:val="371787E8"/>
    <w:rsid w:val="3737C5A7"/>
    <w:rsid w:val="3741334E"/>
    <w:rsid w:val="379470B7"/>
    <w:rsid w:val="38A8D858"/>
    <w:rsid w:val="38B6330D"/>
    <w:rsid w:val="39064AD1"/>
    <w:rsid w:val="390F1C02"/>
    <w:rsid w:val="3939D84A"/>
    <w:rsid w:val="393AB9DD"/>
    <w:rsid w:val="39617824"/>
    <w:rsid w:val="3968733A"/>
    <w:rsid w:val="399944A0"/>
    <w:rsid w:val="39B6B721"/>
    <w:rsid w:val="3A697B53"/>
    <w:rsid w:val="3A6E3176"/>
    <w:rsid w:val="3AA2F445"/>
    <w:rsid w:val="3ACED4D5"/>
    <w:rsid w:val="3B1E1BC4"/>
    <w:rsid w:val="3B38BD9D"/>
    <w:rsid w:val="3B520DE0"/>
    <w:rsid w:val="3B739E7F"/>
    <w:rsid w:val="3B9B17EE"/>
    <w:rsid w:val="3BF28CD9"/>
    <w:rsid w:val="3C0BE305"/>
    <w:rsid w:val="3C14A471"/>
    <w:rsid w:val="3C1F38BD"/>
    <w:rsid w:val="3C38E087"/>
    <w:rsid w:val="3D071919"/>
    <w:rsid w:val="3D731FB5"/>
    <w:rsid w:val="3DC264CE"/>
    <w:rsid w:val="3DEEF3EB"/>
    <w:rsid w:val="3E03B23B"/>
    <w:rsid w:val="3EAA579F"/>
    <w:rsid w:val="3EB588B1"/>
    <w:rsid w:val="3EFD5B9C"/>
    <w:rsid w:val="3F5A1B88"/>
    <w:rsid w:val="3F780F2A"/>
    <w:rsid w:val="3F8CD32D"/>
    <w:rsid w:val="4065F9A5"/>
    <w:rsid w:val="406F7B1D"/>
    <w:rsid w:val="4095AB57"/>
    <w:rsid w:val="41345365"/>
    <w:rsid w:val="41627D1F"/>
    <w:rsid w:val="417EE82B"/>
    <w:rsid w:val="424D9491"/>
    <w:rsid w:val="4264AEFD"/>
    <w:rsid w:val="42857483"/>
    <w:rsid w:val="430A6F3C"/>
    <w:rsid w:val="432C6382"/>
    <w:rsid w:val="437C606F"/>
    <w:rsid w:val="43B3F6D5"/>
    <w:rsid w:val="43F6DC21"/>
    <w:rsid w:val="44D0682A"/>
    <w:rsid w:val="44E2157B"/>
    <w:rsid w:val="44F0CB34"/>
    <w:rsid w:val="45938F4F"/>
    <w:rsid w:val="45CD48D8"/>
    <w:rsid w:val="45FD8949"/>
    <w:rsid w:val="460DBC6E"/>
    <w:rsid w:val="463044A8"/>
    <w:rsid w:val="46ABC1ED"/>
    <w:rsid w:val="46F112DA"/>
    <w:rsid w:val="47535F6C"/>
    <w:rsid w:val="478BD22E"/>
    <w:rsid w:val="479959AA"/>
    <w:rsid w:val="47D18D88"/>
    <w:rsid w:val="47F36126"/>
    <w:rsid w:val="48011AC0"/>
    <w:rsid w:val="48764247"/>
    <w:rsid w:val="487DCE71"/>
    <w:rsid w:val="488E8AAE"/>
    <w:rsid w:val="48999B18"/>
    <w:rsid w:val="48BA73E8"/>
    <w:rsid w:val="4925FD03"/>
    <w:rsid w:val="495A6594"/>
    <w:rsid w:val="49FF7B51"/>
    <w:rsid w:val="4A20FF78"/>
    <w:rsid w:val="4A7A281E"/>
    <w:rsid w:val="4A9FEFB2"/>
    <w:rsid w:val="4AA8AFCC"/>
    <w:rsid w:val="4AA941A3"/>
    <w:rsid w:val="4B437FC4"/>
    <w:rsid w:val="4B9FF54E"/>
    <w:rsid w:val="4BACDB02"/>
    <w:rsid w:val="4C64A42D"/>
    <w:rsid w:val="4CC19AD2"/>
    <w:rsid w:val="4D418391"/>
    <w:rsid w:val="4D57423B"/>
    <w:rsid w:val="4D71EFD5"/>
    <w:rsid w:val="4DB4EEBD"/>
    <w:rsid w:val="4DD70A25"/>
    <w:rsid w:val="4E089B2E"/>
    <w:rsid w:val="4F2C1297"/>
    <w:rsid w:val="4F979CEB"/>
    <w:rsid w:val="4FA59984"/>
    <w:rsid w:val="50008429"/>
    <w:rsid w:val="5036CC47"/>
    <w:rsid w:val="50377DC0"/>
    <w:rsid w:val="5068292D"/>
    <w:rsid w:val="5073EB2A"/>
    <w:rsid w:val="509B5E47"/>
    <w:rsid w:val="50E0E799"/>
    <w:rsid w:val="51278DE1"/>
    <w:rsid w:val="514169E5"/>
    <w:rsid w:val="5147589C"/>
    <w:rsid w:val="517D0CF2"/>
    <w:rsid w:val="518C4F8B"/>
    <w:rsid w:val="51D6D472"/>
    <w:rsid w:val="52C53A90"/>
    <w:rsid w:val="52CF3DAD"/>
    <w:rsid w:val="52D39E63"/>
    <w:rsid w:val="5319F25B"/>
    <w:rsid w:val="536E9C75"/>
    <w:rsid w:val="53B8948D"/>
    <w:rsid w:val="53E6ED3F"/>
    <w:rsid w:val="542E73E4"/>
    <w:rsid w:val="54356FE3"/>
    <w:rsid w:val="54D59FE6"/>
    <w:rsid w:val="54E0A47F"/>
    <w:rsid w:val="5504F257"/>
    <w:rsid w:val="5513373D"/>
    <w:rsid w:val="55239E2C"/>
    <w:rsid w:val="5574E25E"/>
    <w:rsid w:val="5576705F"/>
    <w:rsid w:val="557C6F76"/>
    <w:rsid w:val="560B1D7D"/>
    <w:rsid w:val="56173105"/>
    <w:rsid w:val="5632B894"/>
    <w:rsid w:val="5659371A"/>
    <w:rsid w:val="56AD8AD7"/>
    <w:rsid w:val="56D80F0E"/>
    <w:rsid w:val="56F327CF"/>
    <w:rsid w:val="57161989"/>
    <w:rsid w:val="573028E4"/>
    <w:rsid w:val="58219E25"/>
    <w:rsid w:val="596D2DBD"/>
    <w:rsid w:val="59B3D838"/>
    <w:rsid w:val="59C1CD8E"/>
    <w:rsid w:val="5A25E86B"/>
    <w:rsid w:val="5A69F6C2"/>
    <w:rsid w:val="5A6B6F8E"/>
    <w:rsid w:val="5A8040D2"/>
    <w:rsid w:val="5AB272C6"/>
    <w:rsid w:val="5B4197B7"/>
    <w:rsid w:val="5B567AB2"/>
    <w:rsid w:val="5B9A6B3B"/>
    <w:rsid w:val="5BD28369"/>
    <w:rsid w:val="5C21637F"/>
    <w:rsid w:val="5C510603"/>
    <w:rsid w:val="5C61C981"/>
    <w:rsid w:val="5CACE07B"/>
    <w:rsid w:val="5CB431A8"/>
    <w:rsid w:val="5CEB8E2B"/>
    <w:rsid w:val="5CF386C3"/>
    <w:rsid w:val="5CFA39E6"/>
    <w:rsid w:val="5D497B7E"/>
    <w:rsid w:val="5D62899E"/>
    <w:rsid w:val="5DCA78D1"/>
    <w:rsid w:val="5DE36ACE"/>
    <w:rsid w:val="5E037377"/>
    <w:rsid w:val="5E5F8171"/>
    <w:rsid w:val="5E616304"/>
    <w:rsid w:val="5E6A1C26"/>
    <w:rsid w:val="5ED046F2"/>
    <w:rsid w:val="5F33F1CD"/>
    <w:rsid w:val="5FB4BFF3"/>
    <w:rsid w:val="5FBE67DF"/>
    <w:rsid w:val="5FC3AAD4"/>
    <w:rsid w:val="5FEEB71D"/>
    <w:rsid w:val="5FFB51D2"/>
    <w:rsid w:val="608453BF"/>
    <w:rsid w:val="61717872"/>
    <w:rsid w:val="61DD5AA7"/>
    <w:rsid w:val="61FB4B80"/>
    <w:rsid w:val="620A936D"/>
    <w:rsid w:val="625FF1FD"/>
    <w:rsid w:val="6267725E"/>
    <w:rsid w:val="6314971B"/>
    <w:rsid w:val="635B8F60"/>
    <w:rsid w:val="6392B5A5"/>
    <w:rsid w:val="64059DD9"/>
    <w:rsid w:val="649B2A81"/>
    <w:rsid w:val="64B9C04E"/>
    <w:rsid w:val="64C8E9F5"/>
    <w:rsid w:val="64D91E59"/>
    <w:rsid w:val="64EE8001"/>
    <w:rsid w:val="650B3713"/>
    <w:rsid w:val="654F33AA"/>
    <w:rsid w:val="65A8B0E3"/>
    <w:rsid w:val="65F85CE7"/>
    <w:rsid w:val="6630ED3C"/>
    <w:rsid w:val="66CF957A"/>
    <w:rsid w:val="66D50A7B"/>
    <w:rsid w:val="6755B939"/>
    <w:rsid w:val="676FF5EB"/>
    <w:rsid w:val="67E0925C"/>
    <w:rsid w:val="6804EAB1"/>
    <w:rsid w:val="68108536"/>
    <w:rsid w:val="684AF9C7"/>
    <w:rsid w:val="68C2FB63"/>
    <w:rsid w:val="68CEF87A"/>
    <w:rsid w:val="69389ADA"/>
    <w:rsid w:val="6A4EF1D0"/>
    <w:rsid w:val="6A9E34B5"/>
    <w:rsid w:val="6ACCEA3E"/>
    <w:rsid w:val="6B1902F0"/>
    <w:rsid w:val="6B911A19"/>
    <w:rsid w:val="6BF81C9D"/>
    <w:rsid w:val="6CBB276F"/>
    <w:rsid w:val="6CD34EAB"/>
    <w:rsid w:val="6D4B71EE"/>
    <w:rsid w:val="6DFC8D8D"/>
    <w:rsid w:val="6E18BE91"/>
    <w:rsid w:val="6E5F8264"/>
    <w:rsid w:val="6EFE58A9"/>
    <w:rsid w:val="6F41377A"/>
    <w:rsid w:val="6F794BDC"/>
    <w:rsid w:val="6F96989E"/>
    <w:rsid w:val="6F970506"/>
    <w:rsid w:val="6FAF733C"/>
    <w:rsid w:val="6FBEF8CB"/>
    <w:rsid w:val="6FE5DE76"/>
    <w:rsid w:val="70CA593A"/>
    <w:rsid w:val="70DE5698"/>
    <w:rsid w:val="712DF250"/>
    <w:rsid w:val="717D1456"/>
    <w:rsid w:val="719F10AC"/>
    <w:rsid w:val="71A9E166"/>
    <w:rsid w:val="71EDA965"/>
    <w:rsid w:val="725F937D"/>
    <w:rsid w:val="72FC6A50"/>
    <w:rsid w:val="733C0F02"/>
    <w:rsid w:val="7340B504"/>
    <w:rsid w:val="734F1395"/>
    <w:rsid w:val="7393032E"/>
    <w:rsid w:val="73CED937"/>
    <w:rsid w:val="73DEEA89"/>
    <w:rsid w:val="73E13B52"/>
    <w:rsid w:val="7479EE4D"/>
    <w:rsid w:val="74BD8911"/>
    <w:rsid w:val="74EC6EA3"/>
    <w:rsid w:val="753DE5A4"/>
    <w:rsid w:val="7555A1A8"/>
    <w:rsid w:val="76108A4B"/>
    <w:rsid w:val="7615BEAE"/>
    <w:rsid w:val="766F262E"/>
    <w:rsid w:val="76944F13"/>
    <w:rsid w:val="76C11A88"/>
    <w:rsid w:val="76CA4A01"/>
    <w:rsid w:val="77304BA3"/>
    <w:rsid w:val="7767EE6E"/>
    <w:rsid w:val="7832704D"/>
    <w:rsid w:val="789B5E51"/>
    <w:rsid w:val="7A0AA2CF"/>
    <w:rsid w:val="7A457D1C"/>
    <w:rsid w:val="7ABD8E13"/>
    <w:rsid w:val="7AC6C27F"/>
    <w:rsid w:val="7B3D34DA"/>
    <w:rsid w:val="7B45F2F2"/>
    <w:rsid w:val="7B59B4DD"/>
    <w:rsid w:val="7B79BBFE"/>
    <w:rsid w:val="7BA2B07D"/>
    <w:rsid w:val="7C8C2593"/>
    <w:rsid w:val="7CBD06D5"/>
    <w:rsid w:val="7CC78378"/>
    <w:rsid w:val="7CC8A0DB"/>
    <w:rsid w:val="7D619E40"/>
    <w:rsid w:val="7DD256D9"/>
    <w:rsid w:val="7DDBF1B5"/>
    <w:rsid w:val="7EA890B9"/>
    <w:rsid w:val="7EE071CC"/>
    <w:rsid w:val="7EFB359A"/>
    <w:rsid w:val="7F64AEEC"/>
    <w:rsid w:val="7FC626AC"/>
    <w:rsid w:val="7FE17F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38AA4"/>
  <w15:docId w15:val="{29916F90-C49A-4093-9643-01A529AB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D90E7B"/>
    <w:pPr>
      <w:tabs>
        <w:tab w:val="left" w:pos="440"/>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E56AD0"/>
    <w:pPr>
      <w:tabs>
        <w:tab w:val="left" w:pos="880"/>
        <w:tab w:val="right" w:leader="dot" w:pos="9060"/>
      </w:tabs>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1"/>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2"/>
      </w:numPr>
    </w:pPr>
    <w:rPr>
      <w:rFonts w:eastAsia="Calibri"/>
      <w:szCs w:val="22"/>
      <w:lang w:bidi="ar-SA"/>
    </w:rPr>
  </w:style>
  <w:style w:type="paragraph" w:customStyle="1" w:styleId="FSBullet3">
    <w:name w:val="FSBullet 3"/>
    <w:basedOn w:val="Normal"/>
    <w:qFormat/>
    <w:locked/>
    <w:rsid w:val="00944BA4"/>
    <w:pPr>
      <w:keepNext/>
      <w:widowControl/>
      <w:numPr>
        <w:numId w:val="3"/>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uiPriority w:val="5"/>
    <w:qFormat/>
    <w:rsid w:val="00820535"/>
    <w:rPr>
      <w:sz w:val="20"/>
      <w:szCs w:val="20"/>
    </w:rPr>
  </w:style>
  <w:style w:type="character" w:customStyle="1" w:styleId="FootnoteTextChar">
    <w:name w:val="Footnote Text Char"/>
    <w:aliases w:val="Footnotes Text Char,FSFootnotes Text Char"/>
    <w:basedOn w:val="DefaultParagraphFont"/>
    <w:link w:val="FootnoteText"/>
    <w:uiPriority w:val="5"/>
    <w:rsid w:val="00820535"/>
    <w:rPr>
      <w:rFonts w:ascii="Arial" w:hAnsi="Arial"/>
      <w:lang w:eastAsia="en-US" w:bidi="en-US"/>
    </w:rPr>
  </w:style>
  <w:style w:type="paragraph" w:styleId="ListParagraph">
    <w:name w:val="List Paragraph"/>
    <w:basedOn w:val="Normal"/>
    <w:uiPriority w:val="34"/>
    <w:qFormat/>
    <w:rsid w:val="00642157"/>
    <w:pPr>
      <w:widowControl/>
      <w:ind w:left="720"/>
      <w:contextualSpacing/>
    </w:pPr>
    <w:rPr>
      <w:rFonts w:eastAsiaTheme="minorHAnsi" w:cstheme="minorBidi"/>
      <w:szCs w:val="22"/>
      <w:lang w:bidi="ar-SA"/>
    </w:rPr>
  </w:style>
  <w:style w:type="character" w:customStyle="1" w:styleId="normaltextrun">
    <w:name w:val="normaltextrun"/>
    <w:basedOn w:val="DefaultParagraphFont"/>
    <w:rsid w:val="006219F2"/>
  </w:style>
  <w:style w:type="paragraph" w:customStyle="1" w:styleId="paragraph">
    <w:name w:val="paragraph"/>
    <w:basedOn w:val="Normal"/>
    <w:rsid w:val="006219F2"/>
    <w:pPr>
      <w:widowControl/>
      <w:spacing w:before="100" w:beforeAutospacing="1" w:after="100" w:afterAutospacing="1"/>
    </w:pPr>
    <w:rPr>
      <w:rFonts w:ascii="Times New Roman" w:hAnsi="Times New Roman"/>
      <w:sz w:val="24"/>
      <w:lang w:eastAsia="en-GB" w:bidi="ar-SA"/>
    </w:rPr>
  </w:style>
  <w:style w:type="character" w:customStyle="1" w:styleId="eop">
    <w:name w:val="eop"/>
    <w:basedOn w:val="DefaultParagraphFont"/>
    <w:rsid w:val="006219F2"/>
  </w:style>
  <w:style w:type="character" w:customStyle="1" w:styleId="UnresolvedMention1">
    <w:name w:val="Unresolved Mention1"/>
    <w:basedOn w:val="DefaultParagraphFont"/>
    <w:uiPriority w:val="99"/>
    <w:semiHidden/>
    <w:unhideWhenUsed/>
    <w:rsid w:val="003F7B0A"/>
    <w:rPr>
      <w:color w:val="605E5C"/>
      <w:shd w:val="clear" w:color="auto" w:fill="E1DFDD"/>
    </w:rPr>
  </w:style>
  <w:style w:type="character" w:customStyle="1" w:styleId="UnresolvedMention2">
    <w:name w:val="Unresolved Mention2"/>
    <w:basedOn w:val="DefaultParagraphFont"/>
    <w:uiPriority w:val="99"/>
    <w:semiHidden/>
    <w:unhideWhenUsed/>
    <w:rsid w:val="005109D9"/>
    <w:rPr>
      <w:color w:val="605E5C"/>
      <w:shd w:val="clear" w:color="auto" w:fill="E1DFDD"/>
    </w:rPr>
  </w:style>
  <w:style w:type="character" w:customStyle="1" w:styleId="UnresolvedMention3">
    <w:name w:val="Unresolved Mention3"/>
    <w:basedOn w:val="DefaultParagraphFont"/>
    <w:uiPriority w:val="99"/>
    <w:semiHidden/>
    <w:unhideWhenUsed/>
    <w:rsid w:val="00A05F7B"/>
    <w:rPr>
      <w:color w:val="605E5C"/>
      <w:shd w:val="clear" w:color="auto" w:fill="E1DFDD"/>
    </w:rPr>
  </w:style>
  <w:style w:type="table" w:customStyle="1" w:styleId="TableGrid1">
    <w:name w:val="Table Grid1"/>
    <w:basedOn w:val="TableNormal"/>
    <w:next w:val="TableGrid"/>
    <w:uiPriority w:val="59"/>
    <w:rsid w:val="0055038E"/>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DA0270"/>
    <w:rPr>
      <w:color w:val="605E5C"/>
      <w:shd w:val="clear" w:color="auto" w:fill="E1DFDD"/>
    </w:rPr>
  </w:style>
  <w:style w:type="paragraph" w:styleId="EndnoteText">
    <w:name w:val="endnote text"/>
    <w:basedOn w:val="Normal"/>
    <w:link w:val="EndnoteTextChar"/>
    <w:semiHidden/>
    <w:unhideWhenUsed/>
    <w:rsid w:val="0023696F"/>
    <w:rPr>
      <w:sz w:val="20"/>
      <w:szCs w:val="20"/>
    </w:rPr>
  </w:style>
  <w:style w:type="character" w:customStyle="1" w:styleId="EndnoteTextChar">
    <w:name w:val="Endnote Text Char"/>
    <w:basedOn w:val="DefaultParagraphFont"/>
    <w:link w:val="EndnoteText"/>
    <w:semiHidden/>
    <w:rsid w:val="0023696F"/>
    <w:rPr>
      <w:rFonts w:ascii="Arial" w:hAnsi="Arial"/>
      <w:lang w:eastAsia="en-US" w:bidi="en-US"/>
    </w:rPr>
  </w:style>
  <w:style w:type="character" w:styleId="EndnoteReference">
    <w:name w:val="endnote reference"/>
    <w:basedOn w:val="DefaultParagraphFont"/>
    <w:semiHidden/>
    <w:unhideWhenUsed/>
    <w:rsid w:val="0023696F"/>
    <w:rPr>
      <w:vertAlign w:val="superscript"/>
    </w:rPr>
  </w:style>
  <w:style w:type="character" w:customStyle="1" w:styleId="UnresolvedMention5">
    <w:name w:val="Unresolved Mention5"/>
    <w:basedOn w:val="DefaultParagraphFont"/>
    <w:uiPriority w:val="99"/>
    <w:semiHidden/>
    <w:unhideWhenUsed/>
    <w:rsid w:val="00BC1327"/>
    <w:rPr>
      <w:color w:val="605E5C"/>
      <w:shd w:val="clear" w:color="auto" w:fill="E1DFDD"/>
    </w:rPr>
  </w:style>
  <w:style w:type="paragraph" w:customStyle="1" w:styleId="pf0">
    <w:name w:val="pf0"/>
    <w:basedOn w:val="Normal"/>
    <w:rsid w:val="00B55AEC"/>
    <w:pPr>
      <w:widowControl/>
      <w:spacing w:before="100" w:beforeAutospacing="1" w:after="100" w:afterAutospacing="1"/>
    </w:pPr>
    <w:rPr>
      <w:rFonts w:ascii="Times New Roman" w:hAnsi="Times New Roman"/>
      <w:sz w:val="24"/>
      <w:lang w:val="en-NZ" w:eastAsia="en-NZ" w:bidi="ar-SA"/>
    </w:rPr>
  </w:style>
  <w:style w:type="character" w:customStyle="1" w:styleId="cf01">
    <w:name w:val="cf01"/>
    <w:basedOn w:val="DefaultParagraphFont"/>
    <w:rsid w:val="00B55AEC"/>
    <w:rPr>
      <w:rFonts w:ascii="Segoe UI" w:hAnsi="Segoe UI" w:cs="Segoe UI" w:hint="default"/>
      <w:sz w:val="18"/>
      <w:szCs w:val="18"/>
    </w:rPr>
  </w:style>
  <w:style w:type="character" w:customStyle="1" w:styleId="cf11">
    <w:name w:val="cf11"/>
    <w:basedOn w:val="DefaultParagraphFont"/>
    <w:rsid w:val="00B55AEC"/>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C95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7559">
      <w:bodyDiv w:val="1"/>
      <w:marLeft w:val="0"/>
      <w:marRight w:val="0"/>
      <w:marTop w:val="0"/>
      <w:marBottom w:val="0"/>
      <w:divBdr>
        <w:top w:val="none" w:sz="0" w:space="0" w:color="auto"/>
        <w:left w:val="none" w:sz="0" w:space="0" w:color="auto"/>
        <w:bottom w:val="none" w:sz="0" w:space="0" w:color="auto"/>
        <w:right w:val="none" w:sz="0" w:space="0" w:color="auto"/>
      </w:divBdr>
    </w:div>
    <w:div w:id="145052980">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42116653">
      <w:bodyDiv w:val="1"/>
      <w:marLeft w:val="0"/>
      <w:marRight w:val="0"/>
      <w:marTop w:val="0"/>
      <w:marBottom w:val="0"/>
      <w:divBdr>
        <w:top w:val="none" w:sz="0" w:space="0" w:color="auto"/>
        <w:left w:val="none" w:sz="0" w:space="0" w:color="auto"/>
        <w:bottom w:val="none" w:sz="0" w:space="0" w:color="auto"/>
        <w:right w:val="none" w:sz="0" w:space="0" w:color="auto"/>
      </w:divBdr>
    </w:div>
    <w:div w:id="449477914">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59452535">
      <w:bodyDiv w:val="1"/>
      <w:marLeft w:val="0"/>
      <w:marRight w:val="0"/>
      <w:marTop w:val="0"/>
      <w:marBottom w:val="0"/>
      <w:divBdr>
        <w:top w:val="none" w:sz="0" w:space="0" w:color="auto"/>
        <w:left w:val="none" w:sz="0" w:space="0" w:color="auto"/>
        <w:bottom w:val="none" w:sz="0" w:space="0" w:color="auto"/>
        <w:right w:val="none" w:sz="0" w:space="0" w:color="auto"/>
      </w:divBdr>
    </w:div>
    <w:div w:id="767703435">
      <w:bodyDiv w:val="1"/>
      <w:marLeft w:val="0"/>
      <w:marRight w:val="0"/>
      <w:marTop w:val="0"/>
      <w:marBottom w:val="0"/>
      <w:divBdr>
        <w:top w:val="none" w:sz="0" w:space="0" w:color="auto"/>
        <w:left w:val="none" w:sz="0" w:space="0" w:color="auto"/>
        <w:bottom w:val="none" w:sz="0" w:space="0" w:color="auto"/>
        <w:right w:val="none" w:sz="0" w:space="0" w:color="auto"/>
      </w:divBdr>
    </w:div>
    <w:div w:id="796721208">
      <w:bodyDiv w:val="1"/>
      <w:marLeft w:val="0"/>
      <w:marRight w:val="0"/>
      <w:marTop w:val="0"/>
      <w:marBottom w:val="0"/>
      <w:divBdr>
        <w:top w:val="none" w:sz="0" w:space="0" w:color="auto"/>
        <w:left w:val="none" w:sz="0" w:space="0" w:color="auto"/>
        <w:bottom w:val="none" w:sz="0" w:space="0" w:color="auto"/>
        <w:right w:val="none" w:sz="0" w:space="0" w:color="auto"/>
      </w:divBdr>
    </w:div>
    <w:div w:id="799496898">
      <w:bodyDiv w:val="1"/>
      <w:marLeft w:val="0"/>
      <w:marRight w:val="0"/>
      <w:marTop w:val="0"/>
      <w:marBottom w:val="0"/>
      <w:divBdr>
        <w:top w:val="none" w:sz="0" w:space="0" w:color="auto"/>
        <w:left w:val="none" w:sz="0" w:space="0" w:color="auto"/>
        <w:bottom w:val="none" w:sz="0" w:space="0" w:color="auto"/>
        <w:right w:val="none" w:sz="0" w:space="0" w:color="auto"/>
      </w:divBdr>
    </w:div>
    <w:div w:id="948395635">
      <w:bodyDiv w:val="1"/>
      <w:marLeft w:val="0"/>
      <w:marRight w:val="0"/>
      <w:marTop w:val="0"/>
      <w:marBottom w:val="0"/>
      <w:divBdr>
        <w:top w:val="none" w:sz="0" w:space="0" w:color="auto"/>
        <w:left w:val="none" w:sz="0" w:space="0" w:color="auto"/>
        <w:bottom w:val="none" w:sz="0" w:space="0" w:color="auto"/>
        <w:right w:val="none" w:sz="0" w:space="0" w:color="auto"/>
      </w:divBdr>
    </w:div>
    <w:div w:id="1112287708">
      <w:bodyDiv w:val="1"/>
      <w:marLeft w:val="0"/>
      <w:marRight w:val="0"/>
      <w:marTop w:val="0"/>
      <w:marBottom w:val="0"/>
      <w:divBdr>
        <w:top w:val="none" w:sz="0" w:space="0" w:color="auto"/>
        <w:left w:val="none" w:sz="0" w:space="0" w:color="auto"/>
        <w:bottom w:val="none" w:sz="0" w:space="0" w:color="auto"/>
        <w:right w:val="none" w:sz="0" w:space="0" w:color="auto"/>
      </w:divBdr>
    </w:div>
    <w:div w:id="1533492435">
      <w:bodyDiv w:val="1"/>
      <w:marLeft w:val="0"/>
      <w:marRight w:val="0"/>
      <w:marTop w:val="0"/>
      <w:marBottom w:val="0"/>
      <w:divBdr>
        <w:top w:val="none" w:sz="0" w:space="0" w:color="auto"/>
        <w:left w:val="none" w:sz="0" w:space="0" w:color="auto"/>
        <w:bottom w:val="none" w:sz="0" w:space="0" w:color="auto"/>
        <w:right w:val="none" w:sz="0" w:space="0" w:color="auto"/>
      </w:divBdr>
    </w:div>
    <w:div w:id="1617759134">
      <w:bodyDiv w:val="1"/>
      <w:marLeft w:val="0"/>
      <w:marRight w:val="0"/>
      <w:marTop w:val="0"/>
      <w:marBottom w:val="0"/>
      <w:divBdr>
        <w:top w:val="none" w:sz="0" w:space="0" w:color="auto"/>
        <w:left w:val="none" w:sz="0" w:space="0" w:color="auto"/>
        <w:bottom w:val="none" w:sz="0" w:space="0" w:color="auto"/>
        <w:right w:val="none" w:sz="0" w:space="0" w:color="auto"/>
      </w:divBdr>
    </w:div>
    <w:div w:id="1680885819">
      <w:bodyDiv w:val="1"/>
      <w:marLeft w:val="0"/>
      <w:marRight w:val="0"/>
      <w:marTop w:val="0"/>
      <w:marBottom w:val="0"/>
      <w:divBdr>
        <w:top w:val="none" w:sz="0" w:space="0" w:color="auto"/>
        <w:left w:val="none" w:sz="0" w:space="0" w:color="auto"/>
        <w:bottom w:val="none" w:sz="0" w:space="0" w:color="auto"/>
        <w:right w:val="none" w:sz="0" w:space="0" w:color="auto"/>
      </w:divBdr>
    </w:div>
    <w:div w:id="1721590612">
      <w:bodyDiv w:val="1"/>
      <w:marLeft w:val="0"/>
      <w:marRight w:val="0"/>
      <w:marTop w:val="0"/>
      <w:marBottom w:val="0"/>
      <w:divBdr>
        <w:top w:val="none" w:sz="0" w:space="0" w:color="auto"/>
        <w:left w:val="none" w:sz="0" w:space="0" w:color="auto"/>
        <w:bottom w:val="none" w:sz="0" w:space="0" w:color="auto"/>
        <w:right w:val="none" w:sz="0" w:space="0" w:color="auto"/>
      </w:divBdr>
    </w:div>
    <w:div w:id="1722362118">
      <w:bodyDiv w:val="1"/>
      <w:marLeft w:val="0"/>
      <w:marRight w:val="0"/>
      <w:marTop w:val="0"/>
      <w:marBottom w:val="0"/>
      <w:divBdr>
        <w:top w:val="none" w:sz="0" w:space="0" w:color="auto"/>
        <w:left w:val="none" w:sz="0" w:space="0" w:color="auto"/>
        <w:bottom w:val="none" w:sz="0" w:space="0" w:color="auto"/>
        <w:right w:val="none" w:sz="0" w:space="0" w:color="auto"/>
      </w:divBdr>
    </w:div>
    <w:div w:id="1742561909">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836719925">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1974746948">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submissions@foodstandards.gov.au" TargetMode="External"/><Relationship Id="rId26" Type="http://schemas.openxmlformats.org/officeDocument/2006/relationships/image" Target="media/image5.png"/><Relationship Id="rId39" Type="http://schemas.openxmlformats.org/officeDocument/2006/relationships/footer" Target="footer3.xml"/><Relationship Id="rId21" Type="http://schemas.openxmlformats.org/officeDocument/2006/relationships/footer" Target="footer2.xml"/><Relationship Id="rId34" Type="http://schemas.openxmlformats.org/officeDocument/2006/relationships/hyperlink" Target="https://doi.org/10.1093/alcalc/agx087"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image" Target="media/image4.emf"/><Relationship Id="rId33" Type="http://schemas.openxmlformats.org/officeDocument/2006/relationships/hyperlink" Target="https://doi.org/10.3389/fpsyg.2013.00902" TargetMode="External"/><Relationship Id="rId38"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yperlink" Target="https://www.foodstandards.gov.au/pages/privacy-policy.aspx" TargetMode="External"/><Relationship Id="rId20" Type="http://schemas.openxmlformats.org/officeDocument/2006/relationships/footer" Target="footer1.xml"/><Relationship Id="rId29" Type="http://schemas.openxmlformats.org/officeDocument/2006/relationships/hyperlink" Target="https://www.foodstandards.gov.au/code/proposals/Documents/SD1%20Pregnancy%20Warning%20Labels%20Literature%20Review.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jpeg"/><Relationship Id="rId32" Type="http://schemas.openxmlformats.org/officeDocument/2006/relationships/hyperlink" Target="https://doi.org/10.1177/1557234X0600200109" TargetMode="External"/><Relationship Id="rId37" Type="http://schemas.openxmlformats.org/officeDocument/2006/relationships/image" Target="media/image6.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https://www.foodstandards.gov.au/code/changes/Pages/Documents-for-public-comment.aspx" TargetMode="External"/><Relationship Id="rId23" Type="http://schemas.openxmlformats.org/officeDocument/2006/relationships/image" Target="media/image2.png"/><Relationship Id="rId28" Type="http://schemas.openxmlformats.org/officeDocument/2006/relationships/hyperlink" Target="https://doi.org/10.1111/ajpy.12177" TargetMode="External"/><Relationship Id="rId36" Type="http://schemas.openxmlformats.org/officeDocument/2006/relationships/hyperlink" Target="https://www.foodstandards.gov.au/about/ips/foilog/documents/Curtin%20University%20of%20Technology_Alcohol%20Warning%20Labels.pdf" TargetMode="External"/><Relationship Id="rId10" Type="http://schemas.openxmlformats.org/officeDocument/2006/relationships/webSettings" Target="webSettings.xml"/><Relationship Id="rId19" Type="http://schemas.openxmlformats.org/officeDocument/2006/relationships/hyperlink" Target="mailto:standards.management@foodstandards.gov.au" TargetMode="External"/><Relationship Id="rId31" Type="http://schemas.openxmlformats.org/officeDocument/2006/relationships/hyperlink" Target="https://doi.org/10.1177/00914509100370010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foodstandards.gov.au/code/changes/Pages/Documents-for-public-comment.aspx" TargetMode="External"/><Relationship Id="rId22" Type="http://schemas.openxmlformats.org/officeDocument/2006/relationships/header" Target="header1.xml"/><Relationship Id="rId27" Type="http://schemas.openxmlformats.org/officeDocument/2006/relationships/image" Target="media/image50.png"/><Relationship Id="rId30" Type="http://schemas.openxmlformats.org/officeDocument/2006/relationships/hyperlink" Target="http://fare.org.au/understanding-ofconsumer-information-messaging-on-alcohol-products/" TargetMode="External"/><Relationship Id="rId35" Type="http://schemas.openxmlformats.org/officeDocument/2006/relationships/hyperlink" Target="https://www.hpa.org.nz/research-library/research-publications/consumer-awareness-andunderstanding-of-alcohol-pregnancy-warning-labels" TargetMode="Externa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au/Series/F2015L00469" TargetMode="External"/><Relationship Id="rId7" Type="http://schemas.openxmlformats.org/officeDocument/2006/relationships/hyperlink" Target="https://www.foodstandards.gov.au/code/proposals/Pages/P1050Pregnancywarninglabelsonalcoholicbeverages.aspx" TargetMode="External"/><Relationship Id="rId2" Type="http://schemas.openxmlformats.org/officeDocument/2006/relationships/hyperlink" Target="https://www.foodstandards.gov.au/code/proposals/Pages/P1050Pregnancywarninglabelsonalcoholicbeverages.aspx" TargetMode="External"/><Relationship Id="rId1" Type="http://schemas.openxmlformats.org/officeDocument/2006/relationships/hyperlink" Target="https://www.foodstandards.gov.au/industry/labelling/Pages/pregnancy-warning-labels.aspx" TargetMode="External"/><Relationship Id="rId6" Type="http://schemas.openxmlformats.org/officeDocument/2006/relationships/hyperlink" Target="https://www.foodstandards.gov.au/industry/labelling/Pages/pregnancy-warning-labels.aspx" TargetMode="External"/><Relationship Id="rId5" Type="http://schemas.openxmlformats.org/officeDocument/2006/relationships/hyperlink" Target="https://www.foodstandards.gov.au/code/proposals/Pages/P1050Pregnancywarninglabelsonalcoholicbeverages.aspx" TargetMode="External"/><Relationship Id="rId4" Type="http://schemas.openxmlformats.org/officeDocument/2006/relationships/hyperlink" Target="https://www.foodstandards.gov.au/code/proposals/Pages/P1050Pregnancywarninglabelsonalcoholicbeverag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FA6E-0B26-43C2-9D68-F35B0093F7E2}"/>
</file>

<file path=customXml/itemProps2.xml><?xml version="1.0" encoding="utf-8"?>
<ds:datastoreItem xmlns:ds="http://schemas.openxmlformats.org/officeDocument/2006/customXml" ds:itemID="{DE557FD5-9D47-428A-8196-9FF88101F849}"/>
</file>

<file path=customXml/itemProps3.xml><?xml version="1.0" encoding="utf-8"?>
<ds:datastoreItem xmlns:ds="http://schemas.openxmlformats.org/officeDocument/2006/customXml" ds:itemID="{48FC190C-2C78-4D56-95C1-C26F03CC8888}">
  <ds:schemaRefs>
    <ds:schemaRef ds:uri="Microsoft.SharePoint.Taxonomy.ContentTypeSync"/>
  </ds:schemaRefs>
</ds:datastoreItem>
</file>

<file path=customXml/itemProps4.xml><?xml version="1.0" encoding="utf-8"?>
<ds:datastoreItem xmlns:ds="http://schemas.openxmlformats.org/officeDocument/2006/customXml" ds:itemID="{E6FC8FF7-5287-43DE-925C-33410474212C}"/>
</file>

<file path=customXml/itemProps5.xml><?xml version="1.0" encoding="utf-8"?>
<ds:datastoreItem xmlns:ds="http://schemas.openxmlformats.org/officeDocument/2006/customXml" ds:itemID="{0E1690AC-11C1-4EDA-B6C4-25F35AE7DFBF}"/>
</file>

<file path=customXml/itemProps6.xml><?xml version="1.0" encoding="utf-8"?>
<ds:datastoreItem xmlns:ds="http://schemas.openxmlformats.org/officeDocument/2006/customXml" ds:itemID="{73DB27BC-1EC5-4735-BCCE-FE148BF7F2B5}"/>
</file>

<file path=docProps/app.xml><?xml version="1.0" encoding="utf-8"?>
<Properties xmlns="http://schemas.openxmlformats.org/officeDocument/2006/extended-properties" xmlns:vt="http://schemas.openxmlformats.org/officeDocument/2006/docPropsVTypes">
  <Template>Normal</Template>
  <TotalTime>200</TotalTime>
  <Pages>31</Pages>
  <Words>11303</Words>
  <Characters>64431</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bournd</dc:creator>
  <cp:keywords/>
  <cp:lastModifiedBy>Tailee Vecchi</cp:lastModifiedBy>
  <cp:revision>2015</cp:revision>
  <cp:lastPrinted>2022-09-12T14:50:00Z</cp:lastPrinted>
  <dcterms:created xsi:type="dcterms:W3CDTF">2022-08-02T09:06:00Z</dcterms:created>
  <dcterms:modified xsi:type="dcterms:W3CDTF">2022-10-05T22:09:00Z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d38ad41e-1d22-411b-a08a-89d2151c2e9f</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a72497e0-a82c-48b6-8043-d88ff2d63d55</vt:lpwstr>
  </property>
  <property fmtid="{D5CDD505-2E9C-101B-9397-08002B2CF9AE}" pid="7" name="DisposalClass">
    <vt:lpwstr/>
  </property>
  <property fmtid="{D5CDD505-2E9C-101B-9397-08002B2CF9AE}" pid="8" name="BCS_">
    <vt:lpwstr>429;#Call for Submissions|8cfb1c27-19a6-4349-9bee-b620975c20b4</vt:lpwstr>
  </property>
  <property fmtid="{D5CDD505-2E9C-101B-9397-08002B2CF9AE}" pid="9" name="m5a168ed04b248b3bef91ad6e7b635a1">
    <vt:lpwstr>OFFICIAL|3776503d-ed4e-4d70-8dfd-8e17b238523b</vt:lpwstr>
  </property>
  <property fmtid="{D5CDD505-2E9C-101B-9397-08002B2CF9AE}" pid="10" name="TaxCatchAll">
    <vt:lpwstr>1;#OFFICIAL</vt:lpwstr>
  </property>
  <property fmtid="{D5CDD505-2E9C-101B-9397-08002B2CF9AE}" pid="11" name="pd3a3559ef84480a8025c4c7bb6e6dee">
    <vt:lpwstr/>
  </property>
  <property fmtid="{D5CDD505-2E9C-101B-9397-08002B2CF9AE}" pid="12" name="h46016694f704d158a57d0b5238c000e">
    <vt:lpwstr/>
  </property>
  <property fmtid="{D5CDD505-2E9C-101B-9397-08002B2CF9AE}" pid="13" name="Data_x0020_Privacy">
    <vt:lpwstr/>
  </property>
  <property fmtid="{D5CDD505-2E9C-101B-9397-08002B2CF9AE}" pid="14" name="BCS">
    <vt:lpwstr>4;#Evaluation|43cb9915-dbd2-4e45-b39d-7bc5c58c72da</vt:lpwstr>
  </property>
  <property fmtid="{D5CDD505-2E9C-101B-9397-08002B2CF9AE}" pid="15" name="Access">
    <vt:lpwstr/>
  </property>
  <property fmtid="{D5CDD505-2E9C-101B-9397-08002B2CF9AE}" pid="16" name="Data_x0020_Category">
    <vt:lpwstr/>
  </property>
  <property fmtid="{D5CDD505-2E9C-101B-9397-08002B2CF9AE}" pid="17" name="Classification">
    <vt:lpwstr>1;#OFFICIAL|3776503d-ed4e-4d70-8dfd-8e17b238523b</vt:lpwstr>
  </property>
  <property fmtid="{D5CDD505-2E9C-101B-9397-08002B2CF9AE}" pid="18" name="Data_x0020_Accessibility">
    <vt:lpwstr/>
  </property>
  <property fmtid="{D5CDD505-2E9C-101B-9397-08002B2CF9AE}" pid="19" name="o2e94e0b7bb742308b3aec7384781dc0">
    <vt:lpwstr/>
  </property>
  <property fmtid="{D5CDD505-2E9C-101B-9397-08002B2CF9AE}" pid="20" name="Data Privacy">
    <vt:lpwstr/>
  </property>
  <property fmtid="{D5CDD505-2E9C-101B-9397-08002B2CF9AE}" pid="21" name="Data Category">
    <vt:lpwstr/>
  </property>
  <property fmtid="{D5CDD505-2E9C-101B-9397-08002B2CF9AE}" pid="22" name="Data Accessibility">
    <vt:lpwstr/>
  </property>
  <property fmtid="{D5CDD505-2E9C-101B-9397-08002B2CF9AE}" pid="2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4" name="bjDocumentLabelXML-0">
    <vt:lpwstr>ames.com/2008/01/sie/internal/label"&gt;&lt;element uid="66ddac19-06c4-4e63-b4dd-d8240d87a23f" value="" /&gt;&lt;/sisl&gt;</vt:lpwstr>
  </property>
  <property fmtid="{D5CDD505-2E9C-101B-9397-08002B2CF9AE}" pid="25" name="bjDocumentSecurityLabel">
    <vt:lpwstr>NO SECURITY CLASSIFICATION REQUIRED</vt:lpwstr>
  </property>
</Properties>
</file>